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RESULTADOS E DISCUSSÃO</w:t>
      </w:r>
    </w:p>
    <w:p>
      <w:pPr>
        <w:spacing w:after="400"/>
        <w:jc w:val="center"/>
      </w:pPr>
      <w:r>
        <w:rPr>
          <w:rFonts w:ascii="Arial" w:cs="Arial" w:eastAsia="Arial" w:hAnsi="Arial"/>
          <w:sz w:val="20"/>
          <w:szCs w:val="20"/>
        </w:rPr>
        <w:t xml:space="preserve">Calculadora Agrícola — Análise comparativa entre modelos tradicionais de estimativa de colheita e algoritmos de aprendizado de máquina</w:t>
      </w:r>
    </w:p>
    <w:p>
      <w:pPr>
        <w:pStyle w:val="Heading2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Conjunto de dados e protocolo de avaliação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base analítica final reúne 920 observações, correspondentes a 145 municípios das unidades federativas de MT, PR, RS, SP, nas culturas de soja, milho e trigo, ao longo das safras de 2020 a 2024. Cada observação associa o rendimento municipal informado pela Produção Agrícola Municipal do IBGE às variáveis climáticas do ciclo correspondente, agregadas por estádio fenológico a partir das séries horárias das estações automáticas do INMET.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avaliação segue dois esquemas de validação, que respondem a perguntas distintas e são reportados separadamente. No esquema espacial, as partições da validação cruzada são formadas por município, de modo que nenhum município apareça simultaneamente em treino e em teste; ele mede o desempenho diante de um município sem histórico disponível. No esquema temporal, o modelo é treinado com as safras anteriores e testado na safra seguinte, reproduzindo a condição real de uso, que é prever antes de colher.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Três métodos de referência foram estabelecidos como linha de base. O primeiro é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média histórica do município</w:t>
      </w:r>
      <w:r>
        <w:rPr>
          <w:rFonts w:ascii="Arial" w:cs="Arial" w:eastAsia="Arial" w:hAnsi="Arial"/>
          <w:sz w:val="24"/>
          <w:szCs w:val="24"/>
        </w:rPr>
        <w:t xml:space="preserve">, calculada apenas sobre as safras anteriores à que está sendo prevista. O segundo é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média histórica indexada</w:t>
      </w:r>
      <w:r>
        <w:rPr>
          <w:rFonts w:ascii="Arial" w:cs="Arial" w:eastAsia="Arial" w:hAnsi="Arial"/>
          <w:sz w:val="24"/>
          <w:szCs w:val="24"/>
        </w:rPr>
        <w:t xml:space="preserve">, que corrige essa média por um fator anual estimado a partir dos demais municípios da mesma unidade federativa, e representa o produtor que conhece o próprio histórico e acompanha o comportamento da safra na sua região. O terceiro é o próprio modelo treinado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apenas com clima</w:t>
      </w:r>
      <w:r>
        <w:rPr>
          <w:rFonts w:ascii="Arial" w:cs="Arial" w:eastAsia="Arial" w:hAnsi="Arial"/>
          <w:sz w:val="24"/>
          <w:szCs w:val="24"/>
        </w:rPr>
        <w:t xml:space="preserve">, sem acesso ao histórico, que isola a contribuição das variáveis ambientais.</w:t>
      </w:r>
    </w:p>
    <w:p>
      <w:pPr>
        <w:pStyle w:val="Heading2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Desempenho preditivo diante de município sem histórico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No esquema espacial, o Elastic Net alcançou RMSE de 19,46 sacas por hectare, com erro absoluto médio de 13,32 e coeficiente de determinação de 0,627. O método tradicional, representado pela média histórica do município, obteve RMSE de 21,50. A redução do erro é, portanto, de 9,5 por cento.</w:t>
      </w:r>
    </w:p>
    <w:p>
      <w:pPr>
        <w:spacing w:after="60" w:before="240"/>
        <w:jc w:val="center"/>
      </w:pPr>
      <w:r>
        <w:drawing>
          <wp:inline distT="0" distB="0" distL="0" distR="0">
            <wp:extent cx="558165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— Erro de previsão por método, esquema espacial. Fonte: Autoria própria (2026).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comparação contra a linha de base indexada é mais exigente e, por isso, mais informativa. Esse método atinge RMSE de 20,06, e a vantagem do Elastic Net sobre ele cai para 3,0 por cento. A leitura que se impõe é que parte substancial do ganho aparente sobre o método tradicional provém não do clima do ciclo, mas da informação de qual ano está sendo previsto — informação que um produtor atento à sua região também possui. Registrar essa distinção é necessário para que o ganho atribuído ao aprendizado de máquina não seja superestimado.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de árvores aleatórias, avaliado em paralelo, obteve RMSE de 19,09, ligeiramente inferior ao do Elastic Net. A diferença entre os dois é pequena diante da dispersão dos dados, e o Elastic Net foi mantido como modelo da calculadora por oferecer coeficientes diretamente interpretáveis, requisito da terceira frente de avaliação.</w:t>
      </w:r>
    </w:p>
    <w:tbl>
      <w:tblPr>
        <w:tblW w:type="dxa" w:w="80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3100"/>
        <w:gridCol w:w="1700"/>
        <w:gridCol w:w="1600"/>
        <w:gridCol w:w="1600"/>
      </w:tblGrid>
      <w:tr>
        <w:trPr>
          <w:cantSplit/>
          <w:tblHeader/>
        </w:trPr>
        <w:tc>
          <w:tcPr>
            <w:tcW w:type="dxa" w:w="3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RMSE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R²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Elastic Net — ciclo completo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19,46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13,32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0,627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Random Forest — ciclo completo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19,09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12,70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0,641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 histórica indexada pelo ano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20,06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 histórica do município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21,50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14,25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0,544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Elastic Net — apenas clima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24,38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17,98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0,414</w:t>
            </w:r>
          </w:p>
        </w:tc>
      </w:tr>
    </w:tbl>
    <w:p>
      <w:pPr>
        <w:spacing w:after="3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 — Desempenho no esquema espacial, em sacas por hectare. Fonte: Autoria própria (2026).</w:t>
      </w:r>
    </w:p>
    <w:p>
      <w:pPr>
        <w:spacing w:after="60" w:before="240"/>
        <w:jc w:val="center"/>
      </w:pPr>
      <w:r>
        <w:drawing>
          <wp:inline distT="0" distB="0" distL="0" distR="0">
            <wp:extent cx="41148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— Rendimento previsto contra rendimento observado, Elastic Net, esquema espacial. Fonte: Autoria própria (2026).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dispersão entre previsto e observado mostra alinhamento consistente à reta de igualdade nas três culturas, com dispersão maior no milho, cuja amplitude de rendimento é também a maior. Observa-se compressão em direção à média nos extremos, comportamento esperado de um modelo linear regularizado: a penalização que estabiliza os coeficientes também atenua as previsões extremas.</w:t>
      </w:r>
    </w:p>
    <w:p>
      <w:pPr>
        <w:pStyle w:val="Heading2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Contribuição do clima ao longo do ciclo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Para verificar se a informação climática acrescenta capacidade preditiva à medida que o ciclo avança, o modelo foi avaliado em três recortes cumulativos: apenas o estádio vegetativo, até a floração, e o ciclo completo até a colheita. O erro diminui monotonicamente nos dois cenários, com e sem o histórico do município, o que confirma que cada estádio adicional carrega informação útil.</w:t>
      </w:r>
    </w:p>
    <w:p>
      <w:pPr>
        <w:spacing w:after="60" w:before="240"/>
        <w:jc w:val="center"/>
      </w:pPr>
      <w:r>
        <w:drawing>
          <wp:inline distT="0" distB="0" distL="0" distR="0">
            <wp:extent cx="558165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3 — Erro de previsão conforme o ciclo avança, esquema espacial. Fonte: Autoria própria (2026).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efeito é mais pronunciado quando o modelo não dispõe do histórico: o erro cai de 27,37 no estádio vegetativo para 24,38 no ciclo completo. Com o histórico disponível, a queda é menor, de 20,55 para 19,46, porque parte da variabilidade já está explicada antes de o clima entrar. Trata-se de resultado coerente com a hipótese do trabalho: o clima do ciclo é informativo, e sua contribuição marginal é tanto maior quanto menor a informação prévia sobre a localidade.</w:t>
      </w:r>
    </w:p>
    <w:p>
      <w:pPr>
        <w:pStyle w:val="Heading2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Interpretabilidade dos coeficientes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Dos 55 coeficientes do modelo, 12 foram reduzidos a zero pela penalização, restando 43 variáveis efetivamente utilizadas. A seleção é feita pelo próprio ajuste, sem intervenção manual, e constitui evidência de que o modelo descarta variáveis redundantes em vez de acomodá-las.</w:t>
      </w:r>
    </w:p>
    <w:p>
      <w:pPr>
        <w:spacing w:after="60" w:before="240"/>
        <w:jc w:val="center"/>
      </w:pPr>
      <w:r>
        <w:drawing>
          <wp:inline distT="0" distB="0" distL="0" distR="0">
            <wp:extent cx="55816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4 — Coeficientes padronizados de maior magnitude. Fonte: Autoria própria (2026).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hierarquia dos coeficientes é, em si, um resultado. O maior peso não recai sobre uma variável climática, e sim sobre a média histórica de rendimento do próprio município, o que indica que o modelo aprende primeiro a posição produtiva da localidade e só então o efeito do ano. Entre as variáveis climáticas, as de maior peso concentram-se no estádio de enchimento de grãos.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Os sinais são agronomicamente coerentes, e essa coerência funciona como validação adicional de que o modelo aprendeu relação física e não ruído. A temperatura máxima absoluta durante o enchimento de grãos tem o maior coeficiente negativo entre as variáveis climáticas, compatível com o estresse térmico documentado nessa fase. O acúmulo de graus-dia no mesmo estádio tem sinal positivo, compatível com a disponibilidade de energia térmica para o enchimento. O déficit de pressão de vapor no estádio vegetativo tem sinal negativo, compatível com a demanda atmosférica por água em fase de estabelecimento da cultura.</w:t>
      </w:r>
    </w:p>
    <w:p>
      <w:pPr>
        <w:pStyle w:val="Heading2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Delimitação do escopo: previsão da safra seguinte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segundo esquema de validação produz resultado qualitativamente distinto, e a sua declaração é condição para o uso responsável do modelo. Ao ser treinado com safras passadas e testado na safra seguinte, o Elastic Net obteve RMSE de 22,47, contra 21,22 do método tradicional — ou seja, desempenho 5,9 por cento pior.</w:t>
      </w:r>
    </w:p>
    <w:p>
      <w:pPr>
        <w:spacing w:after="60" w:before="240"/>
        <w:jc w:val="center"/>
      </w:pPr>
      <w:r>
        <w:drawing>
          <wp:inline distT="0" distB="0" distL="0" distR="0">
            <wp:extent cx="55816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5 — O mesmo modelo nos dois esquemas de validação. Fonte: Autoria própria (2026).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explicação é a extensão da série. O conjunto cobre cinco safras, número insuficiente para que o modelo aprenda a dinâmica interanual — isto é, como o clima de um ano se traduz em rendimento quando esse ano ainda não foi observado. No esquema espacial o modelo generaliza no espaço, tarefa para a qual há 145 municípios de treino; no esquema temporal precisaria generalizar no tempo, e para isso há apenas quatro transições de safra.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consequência prática é objetiva e delimita o produto: a calculadora é adequada à estimativa dentro da safra em curso, à medida que o clima do ciclo se realiza, e não à projeção de uma safra ainda não iniciada. Essa delimitação está implementada na própria ferramenta, que reporta a previsão acompanhada da faixa de incerteza correspondente ao momento do ciclo em que é consultada.</w:t>
      </w:r>
    </w:p>
    <w:tbl>
      <w:tblPr>
        <w:tblW w:type="dxa" w:w="90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500"/>
        <w:gridCol w:w="1500"/>
        <w:gridCol w:w="1500"/>
        <w:gridCol w:w="1500"/>
        <w:gridCol w:w="2000"/>
      </w:tblGrid>
      <w:tr>
        <w:trPr>
          <w:cantSplit/>
          <w:tblHeader/>
        </w:trPr>
        <w:tc>
          <w:tcPr>
            <w:tcW w:type="dxa" w:w="2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Esquema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Pergunta respondida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Elastic Net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Tradicional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Espacial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Município sem histórico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19,46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21,50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favorável (9,5%)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Temporal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Safra ainda não iniciada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22,47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21,22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desfavorável (-5,9%)</w:t>
            </w:r>
          </w:p>
        </w:tc>
      </w:tr>
    </w:tbl>
    <w:p>
      <w:pPr>
        <w:spacing w:after="3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2 — Síntese dos dois esquemas, RMSE em sacas por hectare. Fonte: Autoria própria (2026).</w:t>
      </w:r>
    </w:p>
    <w:p>
      <w:pPr>
        <w:pStyle w:val="Heading2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 Comportamento em safra de quebra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Como teste de robustez, avaliou-se o comportamento dos métodos em um evento de quebra de safra: a soja no Rio Grande do Sul em 2022, com 30 municípios na amostra e rendimento efetivamente colhido de 31,6 sacas por hectare, muito abaixo do padrão histórico da região.</w:t>
      </w:r>
    </w:p>
    <w:p>
      <w:pPr>
        <w:spacing w:after="60" w:before="240"/>
        <w:jc w:val="center"/>
      </w:pPr>
      <w:r>
        <w:drawing>
          <wp:inline distT="0" distB="0" distL="0" distR="0">
            <wp:extent cx="558165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6 — Previsão de cada método na quebra de safra. Fonte: Autoria própria (2026).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resultado separa com nitidez os quatro métodos. A média histórica simples projetou 52,0 sacas por hectare, ignorando o evento, como seria de esperar de um método que desconhece o ano. A média indexada acompanhou a quebra, o que é consistente com o seu desenho, já que o fator anual é estimado a partir dos demais municípios da unidade federativa e portanto incorpora o evento regional. O Elastic Net no esquema espacial também identificou a anomalia, projetando 37,6 sacas por hectare a partir das variáveis climáticas do ciclo, sem dispor do fator anual.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mesmo modelo no esquema temporal falhou neste caso, projetando 69,3 sacas por hectare. O resultado é consistente com a limitação exposta na seção anterior e reforça a delimitação de escopo ali estabelecida.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Uma análise complementar, estratificando as observações por intensidade de anomalia climática, mostrou que o modelo não apresenta vantagem sistemática sobre o método tradicional nos quartis de maior anomalia. A capacidade de identificar o evento, demonstrada no caso acima, não se traduz em erro menor de forma consistente no conjunto das situações atípicas. Essa limitação é declarada por não haver evidência que a contrarie.</w:t>
      </w:r>
    </w:p>
    <w:p>
      <w:pPr>
        <w:pStyle w:val="Heading2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 Atendimento aos requisitos não funcionais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tempo de resposta da calculadora foi medido sobre a chamada completa, que inclui a montagem das variáveis, a padronização, a aplicação dos coeficientes e a conversão para sacas e receita, e não apenas a operação aritmética do modelo. A média obtida foi de 0,35 milissegundo por consulta, cerca de 141 vezes abaixo do limite de cinquenta milissegundos estabelecido como requisito não funcional. O modelo é exportado como conjunto de coeficientes e parâmetros de padronização, o que dispensa a presença de biblioteca de aprendizado de máquina no ambiente do usuário e viabiliza a execução da previsão no próprio navegador.</w:t>
      </w:r>
    </w:p>
    <w:p>
      <w:pPr>
        <w:pStyle w:val="Heading2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 Síntese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sustentam uma conclusão delimitada, e é na delimitação que reside a contribuição do trabalho. O clima do ciclo, agregado por estádio fenológico, melhora a estimativa de rendimento quando não se dispõe do histórico do município, e a melhora é monotônica à medida que o ciclo avança. A vantagem sobre o método tradicional ingênuo é substancial; sobre o método tradicional bem especificado, que incorpora o comportamento regional do ano, é modesta. Em previsão de safra ainda não iniciada, cinco safras de série não são suficientes para que o modelo aprenda a dinâmica temporal, e o método tradicional permanece superior.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ferramenta resultante é, portanto, um instrumento de acompanhamento da safra em curso, e não de projeção de safras futuras. Essa é uma delimitação de escopo apurada por evidência, não uma deficiência de implementação, e a sua declaração explícita é o que torna a ferramenta utilizável com segurança pelo produtor.</w:t>
      </w:r>
    </w:p>
    <w:p>
      <w:pPr>
        <w:pBdr>
          <w:left w:val="single" w:color="7F7F7F" w:sz="12" w:space="10"/>
        </w:pBdr>
        <w:spacing w:after="260" w:before="120" w:line="300"/>
        <w:ind w:left="576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Todos os valores apresentados neste capítulo são lidos, no momento da geração do documento, dos arquivos de resultado produzidos pelos notebooks do pipeline (res_final.json, robustez.xlsx e coef_final.json). Nenhum número foi transcrito manualmente, de modo que uma reexecução do modelo seguida da regeneração deste capítulo mantém texto, quadros e figuras consistentes entre si.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9119580beb319180bfafd9528759386e0fc3b0.png"/><Relationship Id="rId8" Type="http://schemas.openxmlformats.org/officeDocument/2006/relationships/image" Target="media/2e0073758bc2039a64240f7f45cebb1cf091b170.png"/><Relationship Id="rId9" Type="http://schemas.openxmlformats.org/officeDocument/2006/relationships/image" Target="media/816a7fe7e79252fe55652923c1678dc550f6acdb.png"/><Relationship Id="rId10" Type="http://schemas.openxmlformats.org/officeDocument/2006/relationships/image" Target="media/eda939716bb12c3d392239777db4c63f99cc5806.png"/><Relationship Id="rId11" Type="http://schemas.openxmlformats.org/officeDocument/2006/relationships/image" Target="media/02b976c60dff5332f7ee6fe86d84c5e26d6ac35b.png"/><Relationship Id="rId12" Type="http://schemas.openxmlformats.org/officeDocument/2006/relationships/image" Target="media/11ef6cd90837a069092a262373fdc460249f005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e discussão</dc:title>
  <dc:creator>Calculadora Agrícola</dc:creator>
  <cp:lastModifiedBy>Un-named</cp:lastModifiedBy>
  <cp:revision>1</cp:revision>
  <dcterms:created xsi:type="dcterms:W3CDTF">2026-10-09T18:01:28.137Z</dcterms:created>
  <dcterms:modified xsi:type="dcterms:W3CDTF">2026-10-09T18:01:28.137Z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