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EF" w:rsidRPr="009E6463" w:rsidRDefault="002B75EF" w:rsidP="002B75EF">
      <w:pPr>
        <w:pBdr>
          <w:bottom w:val="single" w:sz="6" w:space="1" w:color="auto"/>
        </w:pBdr>
        <w:suppressAutoHyphens/>
        <w:spacing w:after="160" w:line="360" w:lineRule="auto"/>
        <w:jc w:val="center"/>
        <w:rPr>
          <w:rStyle w:val="nfasissutil"/>
          <w:rFonts w:ascii="Times New Roman" w:hAnsi="Times New Roman" w:cs="Times New Roman"/>
          <w:b/>
          <w:i w:val="0"/>
          <w:color w:val="auto"/>
          <w:spacing w:val="20"/>
          <w:sz w:val="28"/>
          <w:u w:val="single"/>
        </w:rPr>
      </w:pPr>
      <w:r w:rsidRPr="009E6463">
        <w:rPr>
          <w:rStyle w:val="nfasissutil"/>
          <w:rFonts w:ascii="Times New Roman" w:hAnsi="Times New Roman" w:cs="Times New Roman"/>
          <w:b/>
          <w:i w:val="0"/>
          <w:color w:val="auto"/>
          <w:spacing w:val="20"/>
          <w:sz w:val="28"/>
          <w:u w:val="single"/>
        </w:rPr>
        <w:t>RESOLUCIÓN INTERLOCUTORIA</w:t>
      </w:r>
    </w:p>
    <w:p w:rsidR="002B75EF" w:rsidRPr="00F34427" w:rsidRDefault="002B75EF" w:rsidP="002B75EF">
      <w:pPr>
        <w:pBdr>
          <w:bottom w:val="single" w:sz="6" w:space="1" w:color="auto"/>
        </w:pBdr>
        <w:suppressAutoHyphens/>
        <w:spacing w:after="160" w:line="360" w:lineRule="auto"/>
        <w:jc w:val="center"/>
        <w:rPr>
          <w:rStyle w:val="nfasissutil"/>
          <w:rFonts w:ascii="Times New Roman" w:hAnsi="Times New Roman" w:cs="Times New Roman"/>
          <w:b/>
          <w:color w:val="auto"/>
          <w:spacing w:val="20"/>
          <w:sz w:val="24"/>
        </w:rPr>
      </w:pPr>
      <w:r>
        <w:rPr>
          <w:rStyle w:val="nfasissutil"/>
          <w:rFonts w:ascii="Times New Roman" w:hAnsi="Times New Roman" w:cs="Times New Roman"/>
          <w:b/>
          <w:color w:val="auto"/>
          <w:spacing w:val="20"/>
          <w:sz w:val="28"/>
        </w:rPr>
        <w:t>S</w:t>
      </w:r>
      <w:r>
        <w:rPr>
          <w:rStyle w:val="nfasissutil"/>
          <w:rFonts w:ascii="Times New Roman" w:hAnsi="Times New Roman" w:cs="Times New Roman"/>
          <w:b/>
          <w:color w:val="auto"/>
          <w:spacing w:val="20"/>
          <w:sz w:val="24"/>
        </w:rPr>
        <w:t>e</w:t>
      </w:r>
      <w:r w:rsidRPr="00F34427">
        <w:rPr>
          <w:rStyle w:val="nfasissutil"/>
          <w:rFonts w:ascii="Times New Roman" w:hAnsi="Times New Roman" w:cs="Times New Roman"/>
          <w:b/>
          <w:color w:val="auto"/>
          <w:spacing w:val="20"/>
          <w:sz w:val="24"/>
        </w:rPr>
        <w:t xml:space="preserve"> tiene por cumplidas las reglas de conducta impuestas a la condenada a una pena en suspenso </w:t>
      </w:r>
      <w:r>
        <w:rPr>
          <w:rFonts w:ascii="Times New Roman" w:hAnsi="Times New Roman" w:cs="Times New Roman"/>
          <w:b/>
          <w:i/>
          <w:iCs/>
          <w:spacing w:val="20"/>
          <w:sz w:val="24"/>
        </w:rPr>
        <w:t>(art. 46 Código Contravencional)</w:t>
      </w:r>
      <w:r>
        <w:rPr>
          <w:rStyle w:val="nfasissutil"/>
          <w:rFonts w:ascii="Times New Roman" w:hAnsi="Times New Roman" w:cs="Times New Roman"/>
          <w:b/>
          <w:color w:val="auto"/>
          <w:spacing w:val="20"/>
          <w:sz w:val="24"/>
        </w:rPr>
        <w:t>.</w:t>
      </w:r>
    </w:p>
    <w:p w:rsidR="002B75EF" w:rsidRDefault="002B75EF" w:rsidP="002B75EF">
      <w:pPr>
        <w:suppressAutoHyphens/>
        <w:spacing w:after="160"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Buenos Aires, </w:t>
      </w:r>
      <w:r w:rsidR="00E44A2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E71AC">
        <w:rPr>
          <w:rFonts w:ascii="Times New Roman" w:hAnsi="Times New Roman" w:cs="Times New Roman"/>
          <w:spacing w:val="20"/>
          <w:sz w:val="24"/>
          <w:szCs w:val="24"/>
        </w:rPr>
        <w:t>2</w:t>
      </w:r>
      <w:r w:rsidR="00E44A2D">
        <w:rPr>
          <w:rFonts w:ascii="Times New Roman" w:hAnsi="Times New Roman" w:cs="Times New Roman"/>
          <w:spacing w:val="20"/>
          <w:sz w:val="24"/>
          <w:szCs w:val="24"/>
        </w:rPr>
        <w:t xml:space="preserve">  de </w:t>
      </w:r>
      <w:r w:rsidR="00283651">
        <w:rPr>
          <w:rFonts w:ascii="Times New Roman" w:hAnsi="Times New Roman" w:cs="Times New Roman"/>
          <w:spacing w:val="20"/>
          <w:sz w:val="24"/>
          <w:szCs w:val="24"/>
        </w:rPr>
        <w:t>septiembre</w:t>
      </w:r>
      <w:r w:rsidR="00E44A2D">
        <w:rPr>
          <w:rFonts w:ascii="Times New Roman" w:hAnsi="Times New Roman" w:cs="Times New Roman"/>
          <w:spacing w:val="20"/>
          <w:sz w:val="24"/>
          <w:szCs w:val="24"/>
        </w:rPr>
        <w:t xml:space="preserve"> de 201</w:t>
      </w:r>
      <w:r w:rsidR="00283651">
        <w:rPr>
          <w:rFonts w:ascii="Times New Roman" w:hAnsi="Times New Roman" w:cs="Times New Roman"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2B75EF" w:rsidRPr="00E675D9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u w:val="single"/>
          <w:lang w:val="es-ES" w:eastAsia="es-ES"/>
        </w:rPr>
      </w:pP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u w:val="single"/>
          <w:lang w:val="es-ES" w:eastAsia="es-ES"/>
        </w:rPr>
        <w:t>ANTECEDENTES y ARGUMENTOS</w:t>
      </w:r>
      <w:r w:rsidRPr="00E675D9">
        <w:rPr>
          <w:rFonts w:ascii="Times New Roman" w:eastAsia="Times New Roman" w:hAnsi="Times New Roman" w:cs="Times New Roman"/>
          <w:b/>
          <w:spacing w:val="20"/>
          <w:sz w:val="24"/>
          <w:szCs w:val="24"/>
          <w:u w:val="single"/>
          <w:lang w:val="es-ES" w:eastAsia="es-ES"/>
        </w:rPr>
        <w:t>:</w:t>
      </w:r>
    </w:p>
    <w:p w:rsidR="002B75EF" w:rsidRPr="00E675D9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El día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27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de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mayo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de 2018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, luego del acuerdo de juicio abreviado arribado entre las partes, se condenó a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l imputado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a la pena principal de 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tres (3)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días de arresto, en suspenso, debiendo por el término de 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tres 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meses cumplir con las pautas de conducta consistentes en 1) 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fijar residencia en la calle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Cesar Díaz 2364, 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esta ciudad y comunicar cualquier cambio de ella; 2) cumplir con las citaciones o requerimientos que se le cursen; 3)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re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alizar la entrega de bienes y/o enseres por un valor equivalente a la suma de pesos un mil quinientos ($1500) a favor del Hospital Profesor Dr. Juan P. </w:t>
      </w:r>
      <w:proofErr w:type="spellStart"/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Garrahan</w:t>
      </w:r>
      <w:proofErr w:type="spellEnd"/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;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4</w:t>
      </w:r>
      <w:r w:rsidR="00E44A2D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)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abstenerse de conducir por el plazo de diez días; 5) asistir al curso Programa de Educación Vial dictado por la Dirección General de Seguridad Vial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, 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con más las costas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(págs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.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54/58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).</w:t>
      </w:r>
    </w:p>
    <w:p w:rsidR="002B75EF" w:rsidRPr="00E675D9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Ello,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por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considerarlo responsable de la infracción prevista en el art. 114 Código Contravencional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(en adelante CC).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</w:p>
    <w:p w:rsidR="002B75EF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Luego, el día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28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mayo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201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8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,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se dio intervención a la Secretaría de Ejecución (pág.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58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),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que remitió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el legajo de ejecución respectivo el pasado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14</w:t>
      </w:r>
      <w:bookmarkStart w:id="0" w:name="_GoBack"/>
      <w:bookmarkEnd w:id="0"/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agosto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.</w:t>
      </w:r>
    </w:p>
    <w:p w:rsidR="002B75EF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Consecuentemente, corresponde controlar el cumplimiento de las reglas de conducta que le impuse al imputado en la sentencia condenatoria:</w:t>
      </w:r>
    </w:p>
    <w:p w:rsidR="00464EAA" w:rsidRPr="00A07B97" w:rsidRDefault="00464EAA" w:rsidP="00A07B97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560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Fijar residencia en la calle </w:t>
      </w:r>
      <w:r w:rsidR="00FE71AC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Cesar Díaz 2364</w:t>
      </w:r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, de esta ciudad</w:t>
      </w:r>
      <w:r w:rsidR="00A07B97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, </w:t>
      </w:r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comunicar cualquier cambio de ella</w:t>
      </w:r>
      <w:r w:rsidR="00A07B97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, </w:t>
      </w:r>
      <w:r w:rsidRPr="00A07B97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y comparecer a las citaciones </w:t>
      </w:r>
      <w:r w:rsidRPr="00A07B97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lastRenderedPageBreak/>
        <w:t>que se le cursen desde la Fiscalía o la Secretaría de Ejecución:</w:t>
      </w:r>
      <w:r w:rsidR="00A07B97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en este punto es importante aclarar que el señor </w:t>
      </w:r>
      <w:r w:rsidR="00FE71AC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silva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se presentó en la sede de este Juzgado para acreditar el cumplimiento de las pautas impuestas, así como también para dejar su licencia de conducir.</w:t>
      </w:r>
    </w:p>
    <w:p w:rsidR="00464EAA" w:rsidRPr="00464EAA" w:rsidRDefault="00464EAA" w:rsidP="002B75EF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560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R</w:t>
      </w:r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ealizar la entrega de bienes y/o enseres por un valor equivalente a la suma de pesos un mil quinientos ($1500) a favor del Hospital Profesor Dr. Juan P. </w:t>
      </w:r>
      <w:proofErr w:type="spellStart"/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Garrahan</w:t>
      </w:r>
      <w:proofErr w:type="spellEnd"/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: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conforme consta de las constancias acompañadas en págs. 73/75, el imputado realizó dos entregas, una por el monto de pesos novecientos sesenta y nueve con noventa y cinco centavos ($969,95) y una por pesos quinientos veintinueve con cincuenta y cinco centavos ($529,55).</w:t>
      </w:r>
    </w:p>
    <w:p w:rsidR="00464EAA" w:rsidRPr="00464EAA" w:rsidRDefault="00464EAA" w:rsidP="002B75EF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560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A</w:t>
      </w:r>
      <w:r w:rsidRPr="00464EA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bstenerse de conducir por el plazo de diez días: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el imputado hizo entrega de su licencia de conducir el pasado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1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junio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y la retiró el día 1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1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junio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(págs. 134 y 135).</w:t>
      </w:r>
    </w:p>
    <w:p w:rsidR="002B75EF" w:rsidRPr="008704EE" w:rsidRDefault="002B75EF" w:rsidP="002B75EF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560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 w:rsidRPr="008704EE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Asistir al curso dictado por la Dirección General de Tránsito denominado “Curso de Educación Vial”:</w:t>
      </w:r>
      <w:r w:rsidRPr="008704EE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se acreditó su concurrencia los días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27 y 28 de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julio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de 2018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conforme surge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del certificado de la página 81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.</w:t>
      </w:r>
    </w:p>
    <w:p w:rsidR="002B75EF" w:rsidRPr="00390104" w:rsidRDefault="002B75EF" w:rsidP="002B75EF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560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 w:rsidRPr="008704EE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Pago de las costas: </w:t>
      </w:r>
      <w:r w:rsidRPr="008704EE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presentó el comprobante de pago de las costas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por el monto de $50</w:t>
      </w:r>
      <w:r w:rsidRPr="008704EE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(pág. </w:t>
      </w:r>
      <w:r w:rsidR="00464EAA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76/77</w:t>
      </w:r>
      <w:r w:rsidRPr="008704EE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)</w:t>
      </w:r>
    </w:p>
    <w:p w:rsidR="002B75EF" w:rsidRDefault="002B75EF" w:rsidP="002B75EF">
      <w:pPr>
        <w:pStyle w:val="Prrafodelista"/>
        <w:numPr>
          <w:ilvl w:val="0"/>
          <w:numId w:val="3"/>
        </w:numPr>
        <w:tabs>
          <w:tab w:val="left" w:pos="1985"/>
        </w:tabs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</w:pPr>
      <w:r w:rsidRPr="00390104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Certificación de antecedentes: </w:t>
      </w:r>
      <w:r w:rsidRPr="0039010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del informe de antecedentes contravencionales surge que el contraventor no fue condenado por nuevas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contravenciones.</w:t>
      </w:r>
    </w:p>
    <w:p w:rsidR="002B75EF" w:rsidRPr="00390104" w:rsidRDefault="002B75EF" w:rsidP="002B75EF">
      <w:pPr>
        <w:pStyle w:val="Prrafodelista"/>
        <w:tabs>
          <w:tab w:val="left" w:pos="1985"/>
        </w:tabs>
        <w:spacing w:before="60" w:after="60" w:line="360" w:lineRule="auto"/>
        <w:ind w:left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</w:pPr>
      <w:r w:rsidRPr="0039010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Por todo lo expuesto, </w:t>
      </w:r>
      <w:r w:rsidRPr="00390104">
        <w:rPr>
          <w:rFonts w:ascii="Times New Roman" w:eastAsia="Times New Roman" w:hAnsi="Times New Roman" w:cs="Times New Roman"/>
          <w:b/>
          <w:spacing w:val="20"/>
          <w:sz w:val="24"/>
          <w:szCs w:val="24"/>
          <w:u w:val="single"/>
          <w:lang w:val="es-ES" w:eastAsia="es-ES"/>
        </w:rPr>
        <w:t>RESUELVO</w:t>
      </w:r>
      <w:r w:rsidRPr="00390104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:</w:t>
      </w:r>
      <w:r w:rsidRPr="0039010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</w:t>
      </w:r>
    </w:p>
    <w:p w:rsidR="002B75EF" w:rsidRPr="00914E38" w:rsidRDefault="002B75EF" w:rsidP="00914E38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</w:pPr>
      <w:r w:rsidRPr="00E675D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I.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</w:t>
      </w:r>
      <w:r w:rsidRPr="00E675D9">
        <w:rPr>
          <w:rFonts w:ascii="Times New Roman" w:eastAsia="Times New Roman" w:hAnsi="Times New Roman" w:cs="Times New Roman"/>
          <w:b/>
          <w:spacing w:val="20"/>
          <w:lang w:val="es-ES" w:eastAsia="es-ES"/>
        </w:rPr>
        <w:t xml:space="preserve">TENER POR CUMPLIDAS </w:t>
      </w:r>
      <w:r w:rsidRPr="00586EDF">
        <w:rPr>
          <w:rFonts w:ascii="Times New Roman" w:eastAsia="Times New Roman" w:hAnsi="Times New Roman" w:cs="Times New Roman"/>
          <w:spacing w:val="20"/>
          <w:lang w:val="es-ES" w:eastAsia="es-ES"/>
        </w:rPr>
        <w:t xml:space="preserve">las reglas de conducta </w:t>
      </w:r>
      <w:r w:rsidRPr="00586EDF">
        <w:rPr>
          <w:rFonts w:ascii="Times New Roman" w:eastAsia="Times New Roman" w:hAnsi="Times New Roman" w:cs="Times New Roman"/>
          <w:bCs/>
          <w:spacing w:val="20"/>
          <w:sz w:val="24"/>
          <w:szCs w:val="24"/>
          <w:lang w:val="es-ES" w:eastAsia="es-ES"/>
        </w:rPr>
        <w:t>impuestas a</w:t>
      </w:r>
      <w:r w:rsidRPr="00586EDF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</w:t>
      </w:r>
      <w:r w:rsidR="0028365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CARLOS SILVA</w:t>
      </w:r>
      <w:r w:rsidRPr="00E675D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,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DNI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37.688.486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impuestas en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la sentencia condenatoria del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2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7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de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mayo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de 201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8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respecto del hecho que habría tenido lugar el día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14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de </w:t>
      </w:r>
      <w:r w:rsidR="0028365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>febrero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de 2018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presuntamente configurativo de la contravención de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conducir con mayor cantidad de alcohol en sangre del permitido 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art.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114 y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46 CC), y las costas del proceso. </w:t>
      </w:r>
    </w:p>
    <w:p w:rsidR="002B75EF" w:rsidRDefault="002B75EF" w:rsidP="002B75EF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MX" w:eastAsia="es-ES"/>
        </w:rPr>
      </w:pPr>
      <w:r w:rsidRPr="00E675D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III.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</w:t>
      </w:r>
      <w:r w:rsidRPr="00586EDF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NOTIFÍQUESE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ES"/>
        </w:rPr>
        <w:t xml:space="preserve"> al imputado junto a su defensa y remítase a la Fiscalía interviniente para su archivo. </w:t>
      </w:r>
    </w:p>
    <w:p w:rsidR="002B75EF" w:rsidRPr="00E675D9" w:rsidRDefault="002B75EF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lastRenderedPageBreak/>
        <w:t>En    de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abril de 2019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se libró una cédula electrónica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a la Defensoría Nº 11.</w:t>
      </w:r>
    </w:p>
    <w:p w:rsidR="002B75EF" w:rsidRDefault="002B75EF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914E38" w:rsidRDefault="00914E38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914E38" w:rsidRDefault="00914E38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914E38" w:rsidRDefault="00914E38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914E38" w:rsidRPr="00E675D9" w:rsidRDefault="00914E38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2B75EF" w:rsidRPr="00E675D9" w:rsidRDefault="002B75EF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</w:p>
    <w:p w:rsidR="002B75EF" w:rsidRPr="00E675D9" w:rsidRDefault="002B75EF" w:rsidP="002B75EF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En     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de abril de 2019 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se remitió a </w:t>
      </w:r>
      <w:r w:rsidR="00914E3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la Fiscalía Nº 19</w:t>
      </w:r>
      <w:r w:rsidRPr="00E675D9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.</w:t>
      </w:r>
    </w:p>
    <w:p w:rsidR="002B75EF" w:rsidRPr="00E675D9" w:rsidRDefault="002B75EF" w:rsidP="002B75E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2B75EF" w:rsidRDefault="002B75EF" w:rsidP="002B75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75EF" w:rsidRDefault="002B75EF" w:rsidP="002B75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75EF" w:rsidRDefault="002B75EF" w:rsidP="002B75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75EF" w:rsidRDefault="002B75EF" w:rsidP="002B75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75EF" w:rsidRDefault="002B75EF" w:rsidP="002B75EF">
      <w:pPr>
        <w:jc w:val="center"/>
      </w:pPr>
    </w:p>
    <w:sectPr w:rsidR="002B75EF">
      <w:footerReference w:type="default" r:id="rId9"/>
      <w:headerReference w:type="first" r:id="rId10"/>
      <w:footerReference w:type="first" r:id="rId11"/>
      <w:pgSz w:w="11906" w:h="16838"/>
      <w:pgMar w:top="1985" w:right="851" w:bottom="851" w:left="1843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F48" w:rsidRDefault="009A6F48">
      <w:pPr>
        <w:spacing w:after="0" w:line="240" w:lineRule="auto"/>
      </w:pPr>
      <w:r>
        <w:separator/>
      </w:r>
    </w:p>
  </w:endnote>
  <w:endnote w:type="continuationSeparator" w:id="0">
    <w:p w:rsidR="009A6F48" w:rsidRDefault="009A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A" w:rsidRDefault="001A4A2D">
    <w:pPr>
      <w:shd w:val="clear" w:color="auto" w:fill="FFFFFF"/>
      <w:ind w:left="-142" w:right="-1"/>
      <w:jc w:val="both"/>
    </w:pPr>
    <w:bookmarkStart w:id="1" w:name="_Hlk510000104"/>
    <w:r>
      <w:rPr>
        <w:bCs/>
        <w:color w:val="14171A"/>
        <w:spacing w:val="20"/>
        <w:sz w:val="18"/>
        <w:szCs w:val="18"/>
      </w:rPr>
      <w:t xml:space="preserve">Juzgado </w:t>
    </w:r>
    <w:proofErr w:type="spellStart"/>
    <w:r>
      <w:rPr>
        <w:bCs/>
        <w:color w:val="14171A"/>
        <w:spacing w:val="20"/>
        <w:sz w:val="18"/>
        <w:szCs w:val="18"/>
      </w:rPr>
      <w:t>PCyF</w:t>
    </w:r>
    <w:proofErr w:type="spellEnd"/>
    <w:r>
      <w:rPr>
        <w:bCs/>
        <w:color w:val="14171A"/>
        <w:spacing w:val="20"/>
        <w:sz w:val="18"/>
        <w:szCs w:val="18"/>
      </w:rPr>
      <w:t xml:space="preserve">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bookmarkEnd w:id="1"/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A" w:rsidRDefault="001A4A2D">
    <w:pPr>
      <w:shd w:val="clear" w:color="auto" w:fill="FFFFFF"/>
      <w:ind w:left="-142" w:right="-1"/>
      <w:jc w:val="both"/>
    </w:pPr>
    <w:r>
      <w:rPr>
        <w:bCs/>
        <w:color w:val="14171A"/>
        <w:spacing w:val="20"/>
        <w:sz w:val="18"/>
        <w:szCs w:val="18"/>
      </w:rPr>
      <w:t xml:space="preserve">Juzgado </w:t>
    </w:r>
    <w:proofErr w:type="spellStart"/>
    <w:r>
      <w:rPr>
        <w:bCs/>
        <w:color w:val="14171A"/>
        <w:spacing w:val="20"/>
        <w:sz w:val="18"/>
        <w:szCs w:val="18"/>
      </w:rPr>
      <w:t>PCyF</w:t>
    </w:r>
    <w:proofErr w:type="spellEnd"/>
    <w:r>
      <w:rPr>
        <w:bCs/>
        <w:color w:val="14171A"/>
        <w:spacing w:val="20"/>
        <w:sz w:val="18"/>
        <w:szCs w:val="18"/>
      </w:rPr>
      <w:t xml:space="preserve">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F48" w:rsidRDefault="009A6F48">
      <w:pPr>
        <w:spacing w:after="0" w:line="240" w:lineRule="auto"/>
      </w:pPr>
      <w:r>
        <w:separator/>
      </w:r>
    </w:p>
  </w:footnote>
  <w:footnote w:type="continuationSeparator" w:id="0">
    <w:p w:rsidR="009A6F48" w:rsidRDefault="009A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8A" w:rsidRDefault="001A4A2D">
    <w:pPr>
      <w:pStyle w:val="NormalWeb"/>
      <w:shd w:val="clear" w:color="auto" w:fill="FFFFFF"/>
      <w:spacing w:beforeAutospacing="0" w:after="0" w:afterAutospacing="0"/>
      <w:rPr>
        <w:b/>
        <w:bCs/>
        <w:color w:val="222222"/>
        <w:sz w:val="16"/>
        <w:szCs w:val="16"/>
        <w:highlight w:val="white"/>
      </w:rPr>
    </w:pPr>
    <w:r>
      <w:rPr>
        <w:noProof/>
      </w:rPr>
      <w:drawing>
        <wp:inline distT="0" distB="0" distL="0" distR="0" wp14:anchorId="33DCA319" wp14:editId="3269B253">
          <wp:extent cx="2533650" cy="422275"/>
          <wp:effectExtent l="0" t="0" r="0" b="0"/>
          <wp:docPr id="1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222222"/>
        <w:sz w:val="16"/>
        <w:szCs w:val="16"/>
        <w:shd w:val="clear" w:color="auto" w:fill="FFFFFF"/>
      </w:rPr>
      <w:tab/>
    </w:r>
  </w:p>
  <w:p w:rsidR="004B758A" w:rsidRDefault="001A4A2D">
    <w:pPr>
      <w:pStyle w:val="NormalWeb"/>
      <w:shd w:val="clear" w:color="auto" w:fill="FFFFFF"/>
      <w:tabs>
        <w:tab w:val="left" w:pos="2934"/>
      </w:tabs>
      <w:spacing w:before="160" w:beforeAutospacing="0" w:after="240" w:afterAutospacing="0"/>
      <w:rPr>
        <w:rFonts w:ascii="Tahoma" w:hAnsi="Tahoma" w:cs="Tahoma"/>
        <w:color w:val="222222"/>
        <w:sz w:val="12"/>
        <w:szCs w:val="12"/>
      </w:rPr>
    </w:pPr>
    <w:r>
      <w:rPr>
        <w:rFonts w:ascii="Tahoma" w:hAnsi="Tahoma" w:cs="Tahoma"/>
        <w:color w:val="222222"/>
        <w:sz w:val="12"/>
        <w:szCs w:val="12"/>
      </w:rPr>
      <w:t>2019 - Año del 25º Aniversario del reconocimiento de la autonomía de la Ciudad de Buenos Aires</w:t>
    </w:r>
    <w:r>
      <w:rPr>
        <w:rFonts w:ascii="Tahoma" w:hAnsi="Tahoma" w:cs="Tahoma"/>
        <w:color w:val="222222"/>
        <w:sz w:val="12"/>
        <w:szCs w:val="12"/>
      </w:rPr>
      <w:tab/>
    </w:r>
  </w:p>
  <w:p w:rsidR="002B75EF" w:rsidRPr="002B75EF" w:rsidRDefault="002B75EF" w:rsidP="002B75EF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  <w:lang w:val="es-ES"/>
      </w:rPr>
    </w:pPr>
    <w:r w:rsidRPr="002B75EF">
      <w:rPr>
        <w:b/>
        <w:bCs/>
        <w:sz w:val="16"/>
        <w:lang w:val="es-ES"/>
      </w:rPr>
      <w:t>JUZGADO DE 1RA INSTANCIA EN LO PENAL CONTRAVENCIONAL Y DE FALTAS N°10   SECRETARÍA UNICA</w:t>
    </w:r>
  </w:p>
  <w:p w:rsidR="002B75EF" w:rsidRDefault="00FE71AC" w:rsidP="002B75EF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SILVA, CARLOS</w:t>
    </w:r>
    <w:r w:rsidR="002B75EF">
      <w:rPr>
        <w:b/>
        <w:bCs/>
        <w:sz w:val="16"/>
      </w:rPr>
      <w:t xml:space="preserve"> SOBRE 111 - CONDUCIR CON MAYOR CANTIDAD DE ALCOHOL EN SANGRE DEL PERMITIDO O BAJO LOS EFECTOS DE ESTUPEFACIENTES (Art. 114 según TC Ley 5666 y </w:t>
    </w:r>
    <w:proofErr w:type="spellStart"/>
    <w:r w:rsidR="002B75EF">
      <w:rPr>
        <w:b/>
        <w:bCs/>
        <w:sz w:val="16"/>
      </w:rPr>
      <w:t>modif</w:t>
    </w:r>
    <w:proofErr w:type="spellEnd"/>
    <w:r w:rsidR="002B75EF">
      <w:rPr>
        <w:b/>
        <w:bCs/>
        <w:sz w:val="16"/>
      </w:rPr>
      <w:t>.)</w:t>
    </w:r>
  </w:p>
  <w:p w:rsidR="002B75EF" w:rsidRDefault="002B75EF" w:rsidP="002B75EF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 xml:space="preserve">Número: IPP </w:t>
    </w:r>
    <w:r w:rsidR="00283651">
      <w:rPr>
        <w:b/>
        <w:bCs/>
        <w:sz w:val="16"/>
      </w:rPr>
      <w:t>1992/2018</w:t>
    </w:r>
    <w:r>
      <w:rPr>
        <w:b/>
        <w:bCs/>
        <w:sz w:val="16"/>
      </w:rPr>
      <w:t>-0</w:t>
    </w:r>
  </w:p>
  <w:p w:rsidR="002B75EF" w:rsidRDefault="00FE71AC" w:rsidP="002B75EF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CUIJ: IPP J-01-0001522</w:t>
    </w:r>
    <w:r w:rsidR="002B75EF">
      <w:rPr>
        <w:b/>
        <w:bCs/>
        <w:sz w:val="16"/>
      </w:rPr>
      <w:t>-1/2018-0</w:t>
    </w:r>
  </w:p>
  <w:p w:rsidR="002B75EF" w:rsidRPr="002B75EF" w:rsidRDefault="002B75EF" w:rsidP="002B75EF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 xml:space="preserve">Actuación </w:t>
    </w:r>
    <w:proofErr w:type="spellStart"/>
    <w:r>
      <w:rPr>
        <w:b/>
        <w:bCs/>
        <w:sz w:val="16"/>
      </w:rPr>
      <w:t>Nro</w:t>
    </w:r>
    <w:proofErr w:type="spellEnd"/>
    <w:r>
      <w:rPr>
        <w:b/>
        <w:bCs/>
        <w:sz w:val="16"/>
      </w:rPr>
      <w:t>: 1</w:t>
    </w:r>
    <w:r w:rsidR="00FE71AC">
      <w:rPr>
        <w:b/>
        <w:bCs/>
        <w:sz w:val="16"/>
      </w:rPr>
      <w:t>254893</w:t>
    </w:r>
    <w:r w:rsidR="00283651">
      <w:rPr>
        <w:b/>
        <w:bCs/>
        <w:sz w:val="16"/>
      </w:rPr>
      <w:t>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B2CAF"/>
    <w:multiLevelType w:val="multilevel"/>
    <w:tmpl w:val="D50CEF3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E28ED"/>
    <w:multiLevelType w:val="multilevel"/>
    <w:tmpl w:val="7E0E7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7323113"/>
    <w:multiLevelType w:val="hybridMultilevel"/>
    <w:tmpl w:val="AA924BA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8A"/>
    <w:rsid w:val="00017308"/>
    <w:rsid w:val="000E416B"/>
    <w:rsid w:val="001A4A2D"/>
    <w:rsid w:val="00283651"/>
    <w:rsid w:val="002B75EF"/>
    <w:rsid w:val="004242C1"/>
    <w:rsid w:val="00464EAA"/>
    <w:rsid w:val="004B758A"/>
    <w:rsid w:val="00914E38"/>
    <w:rsid w:val="009A6F48"/>
    <w:rsid w:val="009E6463"/>
    <w:rsid w:val="00A07B97"/>
    <w:rsid w:val="00E44A2D"/>
    <w:rsid w:val="00E82644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1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1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D3AB-4AF3-4271-BD6E-718F6866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547</Words>
  <Characters>3011</Characters>
  <Application>Microsoft Office Word</Application>
  <DocSecurity>0</DocSecurity>
  <Lines>25</Lines>
  <Paragraphs>7</Paragraphs>
  <ScaleCrop>false</ScaleCrop>
  <Company>DIT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jmartinez</dc:creator>
  <cp:lastModifiedBy>Carolina Soledad Silva</cp:lastModifiedBy>
  <cp:revision>4</cp:revision>
  <cp:lastPrinted>2017-10-09T20:20:00Z</cp:lastPrinted>
  <dcterms:created xsi:type="dcterms:W3CDTF">2019-04-15T17:15:00Z</dcterms:created>
  <dcterms:modified xsi:type="dcterms:W3CDTF">2019-04-16T14:19:00Z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