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8EB" w:rsidRPr="005C32A4" w:rsidRDefault="005C32A4" w:rsidP="005C32A4">
      <w:pPr>
        <w:suppressAutoHyphens/>
        <w:spacing w:after="160" w:line="360" w:lineRule="auto"/>
        <w:jc w:val="center"/>
        <w:rPr>
          <w:rFonts w:ascii="Times New Roman" w:hAnsi="Times New Roman" w:cs="Times New Roman"/>
          <w:b/>
          <w:iCs/>
          <w:spacing w:val="20"/>
          <w:sz w:val="32"/>
          <w:szCs w:val="32"/>
          <w:u w:val="single"/>
        </w:rPr>
      </w:pPr>
      <w:r w:rsidRPr="005C32A4">
        <w:rPr>
          <w:rFonts w:ascii="Times New Roman" w:hAnsi="Times New Roman" w:cs="Times New Roman"/>
          <w:b/>
          <w:iCs/>
          <w:spacing w:val="20"/>
          <w:sz w:val="32"/>
          <w:szCs w:val="32"/>
          <w:u w:val="single"/>
        </w:rPr>
        <w:t>RESOLUCION INTERLOCUTORIA</w:t>
      </w:r>
    </w:p>
    <w:p w:rsidR="006538EB" w:rsidRDefault="005C32A4" w:rsidP="005C32A4">
      <w:pPr>
        <w:pBdr>
          <w:bottom w:val="single" w:sz="12" w:space="1" w:color="auto"/>
        </w:pBdr>
        <w:suppressAutoHyphens/>
        <w:spacing w:after="160" w:line="360" w:lineRule="auto"/>
        <w:ind w:left="567" w:right="707"/>
        <w:jc w:val="both"/>
        <w:rPr>
          <w:rFonts w:ascii="Times New Roman" w:hAnsi="Times New Roman" w:cs="Times New Roman"/>
          <w:b/>
          <w:i/>
          <w:iCs/>
          <w:spacing w:val="20"/>
          <w:sz w:val="24"/>
          <w:szCs w:val="24"/>
        </w:rPr>
      </w:pPr>
      <w:r>
        <w:rPr>
          <w:rFonts w:ascii="Times New Roman" w:hAnsi="Times New Roman" w:cs="Times New Roman"/>
          <w:b/>
          <w:i/>
          <w:iCs/>
          <w:spacing w:val="20"/>
          <w:sz w:val="24"/>
          <w:szCs w:val="24"/>
        </w:rPr>
        <w:t>P</w:t>
      </w:r>
      <w:r w:rsidR="006538EB" w:rsidRPr="006538EB">
        <w:rPr>
          <w:rFonts w:ascii="Times New Roman" w:hAnsi="Times New Roman" w:cs="Times New Roman"/>
          <w:b/>
          <w:i/>
          <w:iCs/>
          <w:spacing w:val="20"/>
          <w:sz w:val="24"/>
          <w:szCs w:val="24"/>
        </w:rPr>
        <w:t>rórroga de cuatro (4) meses de la suspensión del proceso a prueba (art. 311 del Código Procesal Penal de la Ciudad, de aplicación supletoria en razón del artículo 6 de la Ley de Procedimiento Contravencional)</w:t>
      </w:r>
    </w:p>
    <w:p w:rsidR="006538EB" w:rsidRPr="006538EB" w:rsidRDefault="006538EB" w:rsidP="005C32A4">
      <w:pPr>
        <w:suppressAutoHyphens/>
        <w:spacing w:after="160" w:line="360" w:lineRule="auto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 w:rsidRPr="006538EB">
        <w:rPr>
          <w:rFonts w:ascii="Times New Roman" w:hAnsi="Times New Roman" w:cs="Times New Roman"/>
          <w:spacing w:val="20"/>
          <w:sz w:val="24"/>
          <w:szCs w:val="24"/>
        </w:rPr>
        <w:t xml:space="preserve">Buenos Aires, </w:t>
      </w:r>
      <w:r w:rsidR="003A357A">
        <w:rPr>
          <w:rFonts w:ascii="Times New Roman" w:hAnsi="Times New Roman" w:cs="Times New Roman"/>
          <w:spacing w:val="20"/>
          <w:sz w:val="24"/>
          <w:szCs w:val="24"/>
        </w:rPr>
        <w:t>10</w:t>
      </w:r>
      <w:r w:rsidR="005C32A4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6538EB">
        <w:rPr>
          <w:rFonts w:ascii="Times New Roman" w:hAnsi="Times New Roman" w:cs="Times New Roman"/>
          <w:spacing w:val="20"/>
          <w:sz w:val="24"/>
          <w:szCs w:val="24"/>
        </w:rPr>
        <w:t>de octubre de 201</w:t>
      </w:r>
      <w:r w:rsidR="003A357A">
        <w:rPr>
          <w:rFonts w:ascii="Times New Roman" w:hAnsi="Times New Roman" w:cs="Times New Roman"/>
          <w:spacing w:val="20"/>
          <w:sz w:val="24"/>
          <w:szCs w:val="24"/>
        </w:rPr>
        <w:t>7</w:t>
      </w:r>
      <w:r w:rsidRPr="006538EB">
        <w:rPr>
          <w:rFonts w:ascii="Times New Roman" w:hAnsi="Times New Roman" w:cs="Times New Roman"/>
          <w:spacing w:val="20"/>
          <w:sz w:val="24"/>
          <w:szCs w:val="24"/>
        </w:rPr>
        <w:t>.</w:t>
      </w:r>
    </w:p>
    <w:p w:rsidR="006538EB" w:rsidRPr="006538EB" w:rsidRDefault="006538EB" w:rsidP="006538EB">
      <w:pPr>
        <w:suppressAutoHyphens/>
        <w:spacing w:after="160" w:line="360" w:lineRule="auto"/>
        <w:ind w:firstLine="708"/>
        <w:jc w:val="both"/>
        <w:rPr>
          <w:rFonts w:ascii="Times New Roman" w:hAnsi="Times New Roman" w:cs="Times New Roman"/>
          <w:b/>
          <w:spacing w:val="20"/>
          <w:sz w:val="24"/>
          <w:szCs w:val="24"/>
          <w:lang w:val="es-ES_tradnl"/>
        </w:rPr>
      </w:pPr>
      <w:r w:rsidRPr="006538EB">
        <w:rPr>
          <w:rFonts w:ascii="Times New Roman" w:hAnsi="Times New Roman" w:cs="Times New Roman"/>
          <w:b/>
          <w:spacing w:val="20"/>
          <w:sz w:val="24"/>
          <w:szCs w:val="24"/>
          <w:u w:val="single"/>
          <w:lang w:val="es-ES_tradnl"/>
        </w:rPr>
        <w:t>ANTECEDENTES y ARGUMENTOS</w:t>
      </w:r>
      <w:r w:rsidRPr="006538EB">
        <w:rPr>
          <w:rFonts w:ascii="Times New Roman" w:hAnsi="Times New Roman" w:cs="Times New Roman"/>
          <w:b/>
          <w:spacing w:val="20"/>
          <w:sz w:val="24"/>
          <w:szCs w:val="24"/>
          <w:lang w:val="es-ES_tradnl"/>
        </w:rPr>
        <w:t>:</w:t>
      </w:r>
    </w:p>
    <w:p w:rsidR="006538EB" w:rsidRPr="006538EB" w:rsidRDefault="006538EB" w:rsidP="006538EB">
      <w:pPr>
        <w:suppressAutoHyphens/>
        <w:spacing w:after="160" w:line="360" w:lineRule="auto"/>
        <w:ind w:firstLine="708"/>
        <w:jc w:val="both"/>
        <w:rPr>
          <w:rFonts w:ascii="Times New Roman" w:hAnsi="Times New Roman" w:cs="Times New Roman"/>
          <w:spacing w:val="20"/>
          <w:sz w:val="24"/>
          <w:szCs w:val="24"/>
          <w:lang w:val="es-ES"/>
        </w:rPr>
      </w:pPr>
      <w:r w:rsidRPr="006538EB">
        <w:rPr>
          <w:rFonts w:ascii="Times New Roman" w:hAnsi="Times New Roman" w:cs="Times New Roman"/>
          <w:spacing w:val="20"/>
          <w:sz w:val="24"/>
          <w:szCs w:val="24"/>
        </w:rPr>
        <w:t xml:space="preserve">En fecha </w:t>
      </w:r>
      <w:r w:rsidR="00DD6C0C">
        <w:rPr>
          <w:rFonts w:ascii="Times New Roman" w:hAnsi="Times New Roman" w:cs="Times New Roman"/>
          <w:spacing w:val="20"/>
          <w:sz w:val="24"/>
          <w:szCs w:val="24"/>
        </w:rPr>
        <w:t>11</w:t>
      </w:r>
      <w:r w:rsidRPr="006538EB">
        <w:rPr>
          <w:rFonts w:ascii="Times New Roman" w:hAnsi="Times New Roman" w:cs="Times New Roman"/>
          <w:spacing w:val="20"/>
          <w:sz w:val="24"/>
          <w:szCs w:val="24"/>
        </w:rPr>
        <w:t xml:space="preserve"> de </w:t>
      </w:r>
      <w:r w:rsidR="003A357A">
        <w:rPr>
          <w:rFonts w:ascii="Times New Roman" w:hAnsi="Times New Roman" w:cs="Times New Roman"/>
          <w:spacing w:val="20"/>
          <w:sz w:val="24"/>
          <w:szCs w:val="24"/>
        </w:rPr>
        <w:t>mayo</w:t>
      </w:r>
      <w:r w:rsidRPr="006538EB">
        <w:rPr>
          <w:rFonts w:ascii="Times New Roman" w:hAnsi="Times New Roman" w:cs="Times New Roman"/>
          <w:spacing w:val="20"/>
          <w:sz w:val="24"/>
          <w:szCs w:val="24"/>
        </w:rPr>
        <w:t xml:space="preserve"> de 201</w:t>
      </w:r>
      <w:r w:rsidR="003A357A">
        <w:rPr>
          <w:rFonts w:ascii="Times New Roman" w:hAnsi="Times New Roman" w:cs="Times New Roman"/>
          <w:spacing w:val="20"/>
          <w:sz w:val="24"/>
          <w:szCs w:val="24"/>
        </w:rPr>
        <w:t>7</w:t>
      </w:r>
      <w:r w:rsidRPr="006538EB">
        <w:rPr>
          <w:rFonts w:ascii="Times New Roman" w:hAnsi="Times New Roman" w:cs="Times New Roman"/>
          <w:spacing w:val="20"/>
          <w:sz w:val="24"/>
          <w:szCs w:val="24"/>
        </w:rPr>
        <w:t xml:space="preserve"> se resolvió suspender el proceso a prueba respecto del señor </w:t>
      </w:r>
      <w:r w:rsidR="003A357A" w:rsidRPr="003A357A">
        <w:rPr>
          <w:rFonts w:ascii="Times New Roman" w:hAnsi="Times New Roman" w:cs="Times New Roman"/>
          <w:spacing w:val="20"/>
          <w:sz w:val="24"/>
          <w:szCs w:val="24"/>
        </w:rPr>
        <w:t xml:space="preserve">Gerardo González </w:t>
      </w:r>
      <w:r w:rsidRPr="006538EB">
        <w:rPr>
          <w:rFonts w:ascii="Times New Roman" w:hAnsi="Times New Roman" w:cs="Times New Roman"/>
          <w:spacing w:val="20"/>
          <w:sz w:val="24"/>
          <w:szCs w:val="24"/>
        </w:rPr>
        <w:t xml:space="preserve">por el término de </w:t>
      </w:r>
      <w:r w:rsidR="00DD6C0C">
        <w:rPr>
          <w:rFonts w:ascii="Times New Roman" w:hAnsi="Times New Roman" w:cs="Times New Roman"/>
          <w:spacing w:val="20"/>
          <w:sz w:val="24"/>
          <w:szCs w:val="24"/>
        </w:rPr>
        <w:t xml:space="preserve">cuatro </w:t>
      </w:r>
      <w:r w:rsidRPr="006538EB">
        <w:rPr>
          <w:rFonts w:ascii="Times New Roman" w:hAnsi="Times New Roman" w:cs="Times New Roman"/>
          <w:spacing w:val="20"/>
          <w:sz w:val="24"/>
          <w:szCs w:val="24"/>
        </w:rPr>
        <w:t>(</w:t>
      </w:r>
      <w:r w:rsidR="00DD6C0C">
        <w:rPr>
          <w:rFonts w:ascii="Times New Roman" w:hAnsi="Times New Roman" w:cs="Times New Roman"/>
          <w:spacing w:val="20"/>
          <w:sz w:val="24"/>
          <w:szCs w:val="24"/>
        </w:rPr>
        <w:t>4</w:t>
      </w:r>
      <w:r w:rsidRPr="006538EB">
        <w:rPr>
          <w:rFonts w:ascii="Times New Roman" w:hAnsi="Times New Roman" w:cs="Times New Roman"/>
          <w:spacing w:val="20"/>
          <w:sz w:val="24"/>
          <w:szCs w:val="24"/>
        </w:rPr>
        <w:t xml:space="preserve">) meses, debiendo cumplir las siguientes pautas: </w:t>
      </w:r>
      <w:r w:rsidR="00DD6C0C">
        <w:rPr>
          <w:rFonts w:ascii="Times New Roman" w:hAnsi="Times New Roman" w:cs="Times New Roman"/>
          <w:b/>
          <w:spacing w:val="20"/>
          <w:sz w:val="24"/>
          <w:szCs w:val="24"/>
        </w:rPr>
        <w:t>1</w:t>
      </w:r>
      <w:r w:rsidR="00DD6C0C">
        <w:rPr>
          <w:rFonts w:ascii="Times New Roman" w:hAnsi="Times New Roman" w:cs="Times New Roman"/>
          <w:b/>
          <w:bCs/>
          <w:color w:val="000000"/>
          <w:spacing w:val="20"/>
          <w:sz w:val="24"/>
          <w:szCs w:val="24"/>
          <w:shd w:val="clear" w:color="auto" w:fill="FFFFFF"/>
        </w:rPr>
        <w:t xml:space="preserve">) </w:t>
      </w:r>
      <w:r w:rsidR="00DD6C0C">
        <w:rPr>
          <w:rFonts w:ascii="Times New Roman" w:hAnsi="Times New Roman" w:cs="Times New Roman"/>
          <w:bCs/>
          <w:color w:val="000000"/>
          <w:spacing w:val="20"/>
          <w:sz w:val="24"/>
          <w:szCs w:val="24"/>
          <w:shd w:val="clear" w:color="auto" w:fill="FFFFFF"/>
        </w:rPr>
        <w:t xml:space="preserve">Fijar residencia en la calle </w:t>
      </w:r>
      <w:r w:rsidR="00DD6C0C">
        <w:rPr>
          <w:rFonts w:ascii="Times New Roman" w:hAnsi="Times New Roman" w:cs="Times New Roman"/>
          <w:spacing w:val="20"/>
          <w:sz w:val="24"/>
          <w:szCs w:val="24"/>
          <w:lang w:eastAsia="es-AR"/>
        </w:rPr>
        <w:t xml:space="preserve"> </w:t>
      </w:r>
      <w:proofErr w:type="spellStart"/>
      <w:r w:rsidR="003A357A">
        <w:rPr>
          <w:rFonts w:ascii="Times New Roman" w:hAnsi="Times New Roman" w:cs="Times New Roman"/>
          <w:spacing w:val="20"/>
          <w:sz w:val="24"/>
          <w:szCs w:val="24"/>
          <w:lang w:eastAsia="es-AR"/>
        </w:rPr>
        <w:t>Solis</w:t>
      </w:r>
      <w:proofErr w:type="spellEnd"/>
      <w:r w:rsidR="003A357A">
        <w:rPr>
          <w:rFonts w:ascii="Times New Roman" w:hAnsi="Times New Roman" w:cs="Times New Roman"/>
          <w:spacing w:val="20"/>
          <w:sz w:val="24"/>
          <w:szCs w:val="24"/>
          <w:lang w:eastAsia="es-AR"/>
        </w:rPr>
        <w:t xml:space="preserve"> 270</w:t>
      </w:r>
      <w:r w:rsidR="00DD6C0C">
        <w:rPr>
          <w:rFonts w:ascii="Times New Roman" w:hAnsi="Times New Roman" w:cs="Times New Roman"/>
          <w:spacing w:val="20"/>
          <w:sz w:val="24"/>
          <w:szCs w:val="24"/>
          <w:lang w:eastAsia="es-AR"/>
        </w:rPr>
        <w:t>, Dpto. 4</w:t>
      </w:r>
      <w:r w:rsidR="003A357A">
        <w:rPr>
          <w:rFonts w:ascii="Times New Roman" w:hAnsi="Times New Roman" w:cs="Times New Roman"/>
          <w:spacing w:val="20"/>
          <w:sz w:val="24"/>
          <w:szCs w:val="24"/>
          <w:lang w:eastAsia="es-AR"/>
        </w:rPr>
        <w:t xml:space="preserve"> “C”</w:t>
      </w:r>
      <w:r w:rsidR="00DD6C0C">
        <w:rPr>
          <w:rFonts w:ascii="Times New Roman" w:hAnsi="Times New Roman" w:cs="Times New Roman"/>
          <w:bCs/>
          <w:color w:val="000000"/>
          <w:spacing w:val="20"/>
          <w:sz w:val="24"/>
          <w:szCs w:val="24"/>
          <w:shd w:val="clear" w:color="auto" w:fill="FFFFFF"/>
        </w:rPr>
        <w:t xml:space="preserve">, de esta ciudad, y comunicar cualquier cambio tanto a la Oficina de Control, a la Fiscalía y/o al Juzgado </w:t>
      </w:r>
      <w:r w:rsidR="00DD6C0C">
        <w:rPr>
          <w:rFonts w:ascii="Times New Roman" w:hAnsi="Times New Roman" w:cs="Times New Roman"/>
          <w:b/>
          <w:bCs/>
          <w:color w:val="000000"/>
          <w:spacing w:val="20"/>
          <w:sz w:val="24"/>
          <w:szCs w:val="24"/>
          <w:shd w:val="clear" w:color="auto" w:fill="FFFFFF"/>
        </w:rPr>
        <w:t>2)</w:t>
      </w:r>
      <w:r w:rsidR="00DD6C0C">
        <w:rPr>
          <w:rFonts w:ascii="Times New Roman" w:hAnsi="Times New Roman" w:cs="Times New Roman"/>
          <w:bCs/>
          <w:color w:val="000000"/>
          <w:spacing w:val="20"/>
          <w:sz w:val="24"/>
          <w:szCs w:val="24"/>
          <w:shd w:val="clear" w:color="auto" w:fill="FFFFFF"/>
        </w:rPr>
        <w:t xml:space="preserve"> Cumplir con las citaciones o requerimientos que la Fiscalía, el Juzgado y/o la Oficina de Control de Suspensión de Juicio a Prueba le hicieren</w:t>
      </w:r>
      <w:r w:rsidR="00DD6C0C">
        <w:rPr>
          <w:rFonts w:ascii="Times New Roman" w:hAnsi="Times New Roman" w:cs="Times New Roman"/>
          <w:color w:val="000000"/>
          <w:spacing w:val="20"/>
          <w:sz w:val="24"/>
          <w:szCs w:val="24"/>
          <w:shd w:val="clear" w:color="auto" w:fill="FFFFFF"/>
        </w:rPr>
        <w:t xml:space="preserve">; </w:t>
      </w:r>
      <w:r w:rsidR="00DD6C0C">
        <w:rPr>
          <w:rFonts w:ascii="Times New Roman" w:hAnsi="Times New Roman" w:cs="Times New Roman"/>
          <w:b/>
          <w:color w:val="000000"/>
          <w:spacing w:val="20"/>
          <w:sz w:val="24"/>
          <w:szCs w:val="24"/>
          <w:shd w:val="clear" w:color="auto" w:fill="FFFFFF"/>
        </w:rPr>
        <w:t>3</w:t>
      </w:r>
      <w:r w:rsidR="00DD6C0C">
        <w:rPr>
          <w:rFonts w:ascii="Times New Roman" w:hAnsi="Times New Roman" w:cs="Times New Roman"/>
          <w:b/>
          <w:spacing w:val="20"/>
          <w:sz w:val="24"/>
          <w:szCs w:val="24"/>
          <w:lang w:bidi="en-US"/>
        </w:rPr>
        <w:t>)</w:t>
      </w:r>
      <w:r w:rsidR="00DD6C0C">
        <w:rPr>
          <w:rFonts w:ascii="Times New Roman" w:hAnsi="Times New Roman" w:cs="Times New Roman"/>
          <w:spacing w:val="20"/>
          <w:sz w:val="24"/>
          <w:szCs w:val="24"/>
          <w:lang w:bidi="en-US"/>
        </w:rPr>
        <w:t xml:space="preserve"> Cumplir con (30) treinta horas de trabajo comunitario en un lugar a designar por la O</w:t>
      </w:r>
      <w:r w:rsidR="00DD6C0C">
        <w:rPr>
          <w:rFonts w:ascii="Times New Roman" w:hAnsi="Times New Roman" w:cs="Times New Roman"/>
          <w:spacing w:val="20"/>
          <w:sz w:val="24"/>
          <w:szCs w:val="24"/>
        </w:rPr>
        <w:t>ficina de Control de Suspensión del Proceso a Prueba del Ministerio Público Fiscal;</w:t>
      </w:r>
      <w:r w:rsidR="00DD6C0C">
        <w:rPr>
          <w:rFonts w:ascii="Times New Roman" w:hAnsi="Times New Roman" w:cs="Times New Roman"/>
          <w:spacing w:val="20"/>
          <w:sz w:val="24"/>
          <w:szCs w:val="24"/>
          <w:lang w:bidi="en-US"/>
        </w:rPr>
        <w:t xml:space="preserve"> </w:t>
      </w:r>
      <w:r w:rsidR="00DD6C0C">
        <w:rPr>
          <w:rFonts w:ascii="Times New Roman" w:hAnsi="Times New Roman" w:cs="Times New Roman"/>
          <w:b/>
          <w:spacing w:val="20"/>
          <w:sz w:val="24"/>
          <w:szCs w:val="24"/>
          <w:lang w:bidi="en-US"/>
        </w:rPr>
        <w:t xml:space="preserve">4) </w:t>
      </w:r>
      <w:r w:rsidR="00DD6C0C">
        <w:rPr>
          <w:rFonts w:ascii="Times New Roman" w:hAnsi="Times New Roman" w:cs="Times New Roman"/>
          <w:spacing w:val="20"/>
          <w:sz w:val="24"/>
          <w:szCs w:val="24"/>
          <w:lang w:bidi="en-US"/>
        </w:rPr>
        <w:t>Cumplir con la acreditación del inicio del trámite de levantamiento de la clausura impuesta.</w:t>
      </w:r>
      <w:r w:rsidR="00DD6C0C" w:rsidRPr="006538E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6538EB">
        <w:rPr>
          <w:rFonts w:ascii="Times New Roman" w:hAnsi="Times New Roman" w:cs="Times New Roman"/>
          <w:spacing w:val="20"/>
          <w:sz w:val="24"/>
          <w:szCs w:val="24"/>
        </w:rPr>
        <w:t xml:space="preserve">(págs. </w:t>
      </w:r>
      <w:r w:rsidR="00DD6C0C">
        <w:rPr>
          <w:rFonts w:ascii="Times New Roman" w:hAnsi="Times New Roman" w:cs="Times New Roman"/>
          <w:spacing w:val="20"/>
          <w:sz w:val="24"/>
          <w:szCs w:val="24"/>
        </w:rPr>
        <w:t>11/12</w:t>
      </w:r>
      <w:r w:rsidRPr="006538EB">
        <w:rPr>
          <w:rFonts w:ascii="Times New Roman" w:hAnsi="Times New Roman" w:cs="Times New Roman"/>
          <w:spacing w:val="20"/>
          <w:sz w:val="24"/>
          <w:szCs w:val="24"/>
        </w:rPr>
        <w:t>).</w:t>
      </w:r>
    </w:p>
    <w:p w:rsidR="006538EB" w:rsidRPr="006538EB" w:rsidRDefault="006538EB" w:rsidP="006538EB">
      <w:pPr>
        <w:suppressAutoHyphens/>
        <w:spacing w:after="160" w:line="360" w:lineRule="auto"/>
        <w:ind w:firstLine="708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 w:rsidRPr="006538EB">
        <w:rPr>
          <w:rFonts w:ascii="Times New Roman" w:hAnsi="Times New Roman" w:cs="Times New Roman"/>
          <w:spacing w:val="20"/>
          <w:sz w:val="24"/>
          <w:szCs w:val="24"/>
          <w:lang w:val="es-ES"/>
        </w:rPr>
        <w:t xml:space="preserve">El </w:t>
      </w:r>
      <w:r w:rsidR="003A357A">
        <w:rPr>
          <w:rFonts w:ascii="Times New Roman" w:hAnsi="Times New Roman" w:cs="Times New Roman"/>
          <w:spacing w:val="20"/>
          <w:sz w:val="24"/>
          <w:szCs w:val="24"/>
          <w:lang w:val="es-ES"/>
        </w:rPr>
        <w:t>11</w:t>
      </w:r>
      <w:r w:rsidRPr="006538EB">
        <w:rPr>
          <w:rFonts w:ascii="Times New Roman" w:hAnsi="Times New Roman" w:cs="Times New Roman"/>
          <w:spacing w:val="20"/>
          <w:sz w:val="24"/>
          <w:szCs w:val="24"/>
          <w:lang w:val="es-ES"/>
        </w:rPr>
        <w:t xml:space="preserve"> de </w:t>
      </w:r>
      <w:r w:rsidR="003A357A">
        <w:rPr>
          <w:rFonts w:ascii="Times New Roman" w:hAnsi="Times New Roman" w:cs="Times New Roman"/>
          <w:spacing w:val="20"/>
          <w:sz w:val="24"/>
          <w:szCs w:val="24"/>
          <w:lang w:val="es-ES"/>
        </w:rPr>
        <w:t>septiembre</w:t>
      </w:r>
      <w:r w:rsidRPr="006538EB">
        <w:rPr>
          <w:rFonts w:ascii="Times New Roman" w:hAnsi="Times New Roman" w:cs="Times New Roman"/>
          <w:spacing w:val="20"/>
          <w:sz w:val="24"/>
          <w:szCs w:val="24"/>
          <w:lang w:val="es-ES"/>
        </w:rPr>
        <w:t xml:space="preserve"> de 201</w:t>
      </w:r>
      <w:r w:rsidR="003A357A">
        <w:rPr>
          <w:rFonts w:ascii="Times New Roman" w:hAnsi="Times New Roman" w:cs="Times New Roman"/>
          <w:spacing w:val="20"/>
          <w:sz w:val="24"/>
          <w:szCs w:val="24"/>
          <w:lang w:val="es-ES"/>
        </w:rPr>
        <w:t>7</w:t>
      </w:r>
      <w:r w:rsidRPr="006538EB">
        <w:rPr>
          <w:rFonts w:ascii="Times New Roman" w:hAnsi="Times New Roman" w:cs="Times New Roman"/>
          <w:spacing w:val="20"/>
          <w:sz w:val="24"/>
          <w:szCs w:val="24"/>
          <w:lang w:val="es-ES"/>
        </w:rPr>
        <w:t xml:space="preserve"> el Dr. </w:t>
      </w:r>
      <w:proofErr w:type="spellStart"/>
      <w:r w:rsidR="00DD6C0C">
        <w:rPr>
          <w:rFonts w:ascii="Times New Roman" w:hAnsi="Times New Roman" w:cs="Times New Roman"/>
          <w:spacing w:val="20"/>
          <w:sz w:val="24"/>
          <w:szCs w:val="24"/>
          <w:lang w:val="es-ES"/>
        </w:rPr>
        <w:t>Balmayor</w:t>
      </w:r>
      <w:proofErr w:type="spellEnd"/>
      <w:r w:rsidRPr="006538EB">
        <w:rPr>
          <w:rFonts w:ascii="Times New Roman" w:hAnsi="Times New Roman" w:cs="Times New Roman"/>
          <w:spacing w:val="20"/>
          <w:sz w:val="24"/>
          <w:szCs w:val="24"/>
          <w:lang w:val="es-ES"/>
        </w:rPr>
        <w:t xml:space="preserve">, a cargo de la Defensoría Nº </w:t>
      </w:r>
      <w:r w:rsidR="00DD6C0C">
        <w:rPr>
          <w:rFonts w:ascii="Times New Roman" w:hAnsi="Times New Roman" w:cs="Times New Roman"/>
          <w:spacing w:val="20"/>
          <w:sz w:val="24"/>
          <w:szCs w:val="24"/>
          <w:lang w:val="es-ES"/>
        </w:rPr>
        <w:t>12</w:t>
      </w:r>
      <w:r w:rsidRPr="006538EB">
        <w:rPr>
          <w:rFonts w:ascii="Times New Roman" w:hAnsi="Times New Roman" w:cs="Times New Roman"/>
          <w:spacing w:val="20"/>
          <w:sz w:val="24"/>
          <w:szCs w:val="24"/>
          <w:lang w:val="es-ES"/>
        </w:rPr>
        <w:t>, presentó un escrito solicitando una prórroga en el plazo de la suspensión consistente en</w:t>
      </w:r>
      <w:r w:rsidR="00C34E66">
        <w:rPr>
          <w:rFonts w:ascii="Times New Roman" w:hAnsi="Times New Roman" w:cs="Times New Roman"/>
          <w:spacing w:val="20"/>
          <w:sz w:val="24"/>
          <w:szCs w:val="24"/>
        </w:rPr>
        <w:t xml:space="preserve"> cumplir con treinta horas de trabajo comunitario en la </w:t>
      </w:r>
      <w:r w:rsidR="003A357A">
        <w:rPr>
          <w:rFonts w:ascii="Times New Roman" w:hAnsi="Times New Roman" w:cs="Times New Roman"/>
          <w:spacing w:val="20"/>
          <w:sz w:val="24"/>
          <w:szCs w:val="24"/>
        </w:rPr>
        <w:t>Asociación Desamparados</w:t>
      </w:r>
      <w:r w:rsidRPr="006538EB">
        <w:rPr>
          <w:rFonts w:ascii="Times New Roman" w:hAnsi="Times New Roman" w:cs="Times New Roman"/>
          <w:spacing w:val="20"/>
          <w:sz w:val="24"/>
          <w:szCs w:val="24"/>
        </w:rPr>
        <w:t xml:space="preserve">, fundamentando el pedido en que el imputado se presentó en la </w:t>
      </w:r>
      <w:r w:rsidR="003A357A">
        <w:rPr>
          <w:rFonts w:ascii="Times New Roman" w:hAnsi="Times New Roman" w:cs="Times New Roman"/>
          <w:spacing w:val="20"/>
          <w:sz w:val="24"/>
          <w:szCs w:val="24"/>
        </w:rPr>
        <w:t>Asociación</w:t>
      </w:r>
      <w:r w:rsidRPr="006538EB">
        <w:rPr>
          <w:rFonts w:ascii="Times New Roman" w:hAnsi="Times New Roman" w:cs="Times New Roman"/>
          <w:spacing w:val="20"/>
          <w:sz w:val="24"/>
          <w:szCs w:val="24"/>
        </w:rPr>
        <w:t xml:space="preserve">, donde le </w:t>
      </w:r>
      <w:r w:rsidR="00C34E66">
        <w:rPr>
          <w:rFonts w:ascii="Times New Roman" w:hAnsi="Times New Roman" w:cs="Times New Roman"/>
          <w:spacing w:val="20"/>
          <w:sz w:val="24"/>
          <w:szCs w:val="24"/>
        </w:rPr>
        <w:t xml:space="preserve">dieron fecha para comenzar las tareas el día </w:t>
      </w:r>
      <w:r w:rsidR="003A357A">
        <w:rPr>
          <w:rFonts w:ascii="Times New Roman" w:hAnsi="Times New Roman" w:cs="Times New Roman"/>
          <w:spacing w:val="20"/>
          <w:sz w:val="24"/>
          <w:szCs w:val="24"/>
        </w:rPr>
        <w:t>1</w:t>
      </w:r>
      <w:r w:rsidR="00C34E66">
        <w:rPr>
          <w:rFonts w:ascii="Times New Roman" w:hAnsi="Times New Roman" w:cs="Times New Roman"/>
          <w:spacing w:val="20"/>
          <w:sz w:val="24"/>
          <w:szCs w:val="24"/>
        </w:rPr>
        <w:t xml:space="preserve"> de </w:t>
      </w:r>
      <w:r w:rsidR="003A357A">
        <w:rPr>
          <w:rFonts w:ascii="Times New Roman" w:hAnsi="Times New Roman" w:cs="Times New Roman"/>
          <w:spacing w:val="20"/>
          <w:sz w:val="24"/>
          <w:szCs w:val="24"/>
        </w:rPr>
        <w:t>agosto</w:t>
      </w:r>
      <w:r w:rsidR="00C34E66">
        <w:rPr>
          <w:rFonts w:ascii="Times New Roman" w:hAnsi="Times New Roman" w:cs="Times New Roman"/>
          <w:spacing w:val="20"/>
          <w:sz w:val="24"/>
          <w:szCs w:val="24"/>
        </w:rPr>
        <w:t xml:space="preserve"> del corriente año (pág</w:t>
      </w:r>
      <w:r w:rsidRPr="006538EB">
        <w:rPr>
          <w:rFonts w:ascii="Times New Roman" w:hAnsi="Times New Roman" w:cs="Times New Roman"/>
          <w:spacing w:val="20"/>
          <w:sz w:val="24"/>
          <w:szCs w:val="24"/>
        </w:rPr>
        <w:t xml:space="preserve">. </w:t>
      </w:r>
      <w:r w:rsidR="00C34E66">
        <w:rPr>
          <w:rFonts w:ascii="Times New Roman" w:hAnsi="Times New Roman" w:cs="Times New Roman"/>
          <w:spacing w:val="20"/>
          <w:sz w:val="24"/>
          <w:szCs w:val="24"/>
        </w:rPr>
        <w:t>24</w:t>
      </w:r>
      <w:r w:rsidRPr="006538EB">
        <w:rPr>
          <w:rFonts w:ascii="Times New Roman" w:hAnsi="Times New Roman" w:cs="Times New Roman"/>
          <w:spacing w:val="20"/>
          <w:sz w:val="24"/>
          <w:szCs w:val="24"/>
        </w:rPr>
        <w:t xml:space="preserve">). </w:t>
      </w:r>
    </w:p>
    <w:p w:rsidR="006538EB" w:rsidRPr="006538EB" w:rsidRDefault="006538EB" w:rsidP="006538EB">
      <w:pPr>
        <w:suppressAutoHyphens/>
        <w:spacing w:after="160" w:line="360" w:lineRule="auto"/>
        <w:ind w:firstLine="708"/>
        <w:jc w:val="both"/>
        <w:rPr>
          <w:rFonts w:ascii="Times New Roman" w:hAnsi="Times New Roman" w:cs="Times New Roman"/>
          <w:spacing w:val="20"/>
          <w:sz w:val="24"/>
          <w:szCs w:val="24"/>
          <w:lang w:val="es-ES_tradnl"/>
        </w:rPr>
      </w:pPr>
      <w:r w:rsidRPr="006538EB">
        <w:rPr>
          <w:rFonts w:ascii="Times New Roman" w:hAnsi="Times New Roman" w:cs="Times New Roman"/>
          <w:spacing w:val="20"/>
          <w:sz w:val="24"/>
          <w:szCs w:val="24"/>
          <w:lang w:val="es-ES_tradnl"/>
        </w:rPr>
        <w:t xml:space="preserve">En virtud de lo solicitado, entiendo que resulta justificado el pedido de prórroga efectuado por el imputado. El hecho de que exista una demora para la </w:t>
      </w:r>
      <w:r w:rsidRPr="006538EB">
        <w:rPr>
          <w:rFonts w:ascii="Times New Roman" w:hAnsi="Times New Roman" w:cs="Times New Roman"/>
          <w:spacing w:val="20"/>
          <w:sz w:val="24"/>
          <w:szCs w:val="24"/>
          <w:lang w:val="es-ES_tradnl"/>
        </w:rPr>
        <w:lastRenderedPageBreak/>
        <w:t>realización de</w:t>
      </w:r>
      <w:r w:rsidR="00C34E66">
        <w:rPr>
          <w:rFonts w:ascii="Times New Roman" w:hAnsi="Times New Roman" w:cs="Times New Roman"/>
          <w:spacing w:val="20"/>
          <w:sz w:val="24"/>
          <w:szCs w:val="24"/>
          <w:lang w:val="es-ES_tradnl"/>
        </w:rPr>
        <w:t xml:space="preserve"> </w:t>
      </w:r>
      <w:r w:rsidRPr="006538EB">
        <w:rPr>
          <w:rFonts w:ascii="Times New Roman" w:hAnsi="Times New Roman" w:cs="Times New Roman"/>
          <w:spacing w:val="20"/>
          <w:sz w:val="24"/>
          <w:szCs w:val="24"/>
          <w:lang w:val="es-ES_tradnl"/>
        </w:rPr>
        <w:t>l</w:t>
      </w:r>
      <w:r w:rsidR="00C34E66">
        <w:rPr>
          <w:rFonts w:ascii="Times New Roman" w:hAnsi="Times New Roman" w:cs="Times New Roman"/>
          <w:spacing w:val="20"/>
          <w:sz w:val="24"/>
          <w:szCs w:val="24"/>
          <w:lang w:val="es-ES_tradnl"/>
        </w:rPr>
        <w:t xml:space="preserve">as </w:t>
      </w:r>
      <w:r w:rsidR="00C34E66">
        <w:rPr>
          <w:rFonts w:ascii="Times New Roman" w:hAnsi="Times New Roman" w:cs="Times New Roman"/>
          <w:spacing w:val="20"/>
          <w:sz w:val="24"/>
          <w:szCs w:val="24"/>
        </w:rPr>
        <w:t xml:space="preserve">horas de trabajo comunitario en la </w:t>
      </w:r>
      <w:r w:rsidR="003A357A">
        <w:rPr>
          <w:rFonts w:ascii="Times New Roman" w:hAnsi="Times New Roman" w:cs="Times New Roman"/>
          <w:spacing w:val="20"/>
          <w:sz w:val="24"/>
          <w:szCs w:val="24"/>
        </w:rPr>
        <w:t>Asociación</w:t>
      </w:r>
      <w:r w:rsidRPr="006538EB">
        <w:rPr>
          <w:rFonts w:ascii="Times New Roman" w:hAnsi="Times New Roman" w:cs="Times New Roman"/>
          <w:spacing w:val="20"/>
          <w:sz w:val="24"/>
          <w:szCs w:val="24"/>
          <w:lang w:val="es-ES_tradnl"/>
        </w:rPr>
        <w:t xml:space="preserve"> no puede serle reprochada al señor </w:t>
      </w:r>
      <w:r w:rsidR="003A357A">
        <w:rPr>
          <w:rFonts w:ascii="Times New Roman" w:hAnsi="Times New Roman" w:cs="Times New Roman"/>
          <w:spacing w:val="20"/>
          <w:sz w:val="24"/>
          <w:szCs w:val="24"/>
          <w:lang w:val="es-ES_tradnl"/>
        </w:rPr>
        <w:t>González</w:t>
      </w:r>
      <w:r w:rsidRPr="006538EB">
        <w:rPr>
          <w:rFonts w:ascii="Times New Roman" w:hAnsi="Times New Roman" w:cs="Times New Roman"/>
          <w:spacing w:val="20"/>
          <w:sz w:val="24"/>
          <w:szCs w:val="24"/>
          <w:lang w:val="es-ES_tradnl"/>
        </w:rPr>
        <w:t>.</w:t>
      </w:r>
    </w:p>
    <w:p w:rsidR="006538EB" w:rsidRPr="006538EB" w:rsidRDefault="006538EB" w:rsidP="006538EB">
      <w:pPr>
        <w:suppressAutoHyphens/>
        <w:spacing w:after="160" w:line="360" w:lineRule="auto"/>
        <w:ind w:firstLine="708"/>
        <w:jc w:val="both"/>
        <w:rPr>
          <w:rFonts w:ascii="Times New Roman" w:hAnsi="Times New Roman" w:cs="Times New Roman"/>
          <w:spacing w:val="20"/>
          <w:sz w:val="24"/>
          <w:szCs w:val="24"/>
          <w:lang w:val="es-ES_tradnl"/>
        </w:rPr>
      </w:pPr>
      <w:r w:rsidRPr="006538EB">
        <w:rPr>
          <w:rFonts w:ascii="Times New Roman" w:hAnsi="Times New Roman" w:cs="Times New Roman"/>
          <w:spacing w:val="20"/>
          <w:sz w:val="24"/>
          <w:szCs w:val="24"/>
          <w:lang w:val="es-ES_tradnl"/>
        </w:rPr>
        <w:t xml:space="preserve">Por este motivos, resolveré en el sentido requerido por la defensa, y le otorgaré al imputado una prórroga por el término de </w:t>
      </w:r>
      <w:r w:rsidR="003A357A">
        <w:rPr>
          <w:rFonts w:ascii="Times New Roman" w:hAnsi="Times New Roman" w:cs="Times New Roman"/>
          <w:spacing w:val="20"/>
          <w:sz w:val="24"/>
          <w:szCs w:val="24"/>
          <w:lang w:val="es-ES_tradnl"/>
        </w:rPr>
        <w:t xml:space="preserve">dos </w:t>
      </w:r>
      <w:r w:rsidRPr="006538EB">
        <w:rPr>
          <w:rFonts w:ascii="Times New Roman" w:hAnsi="Times New Roman" w:cs="Times New Roman"/>
          <w:spacing w:val="20"/>
          <w:sz w:val="24"/>
          <w:szCs w:val="24"/>
          <w:lang w:val="es-ES_tradnl"/>
        </w:rPr>
        <w:t>(</w:t>
      </w:r>
      <w:r w:rsidR="003A357A">
        <w:rPr>
          <w:rFonts w:ascii="Times New Roman" w:hAnsi="Times New Roman" w:cs="Times New Roman"/>
          <w:spacing w:val="20"/>
          <w:sz w:val="24"/>
          <w:szCs w:val="24"/>
          <w:lang w:val="es-ES_tradnl"/>
        </w:rPr>
        <w:t>2</w:t>
      </w:r>
      <w:r w:rsidRPr="006538EB">
        <w:rPr>
          <w:rFonts w:ascii="Times New Roman" w:hAnsi="Times New Roman" w:cs="Times New Roman"/>
          <w:spacing w:val="20"/>
          <w:sz w:val="24"/>
          <w:szCs w:val="24"/>
          <w:lang w:val="es-ES_tradnl"/>
        </w:rPr>
        <w:t xml:space="preserve">) meses, desde el vencimiento, el cual </w:t>
      </w:r>
      <w:r w:rsidR="00C34E66">
        <w:rPr>
          <w:rFonts w:ascii="Times New Roman" w:hAnsi="Times New Roman" w:cs="Times New Roman"/>
          <w:spacing w:val="20"/>
          <w:sz w:val="24"/>
          <w:szCs w:val="24"/>
          <w:lang w:val="es-ES_tradnl"/>
        </w:rPr>
        <w:t>fue</w:t>
      </w:r>
      <w:r w:rsidRPr="006538EB">
        <w:rPr>
          <w:rFonts w:ascii="Times New Roman" w:hAnsi="Times New Roman" w:cs="Times New Roman"/>
          <w:spacing w:val="20"/>
          <w:sz w:val="24"/>
          <w:szCs w:val="24"/>
          <w:lang w:val="es-ES_tradnl"/>
        </w:rPr>
        <w:t xml:space="preserve"> el </w:t>
      </w:r>
      <w:r w:rsidR="00C34E66">
        <w:rPr>
          <w:rFonts w:ascii="Times New Roman" w:hAnsi="Times New Roman" w:cs="Times New Roman"/>
          <w:spacing w:val="20"/>
          <w:sz w:val="24"/>
          <w:szCs w:val="24"/>
          <w:lang w:val="es-ES_tradnl"/>
        </w:rPr>
        <w:t>11</w:t>
      </w:r>
      <w:r w:rsidRPr="006538EB">
        <w:rPr>
          <w:rFonts w:ascii="Times New Roman" w:hAnsi="Times New Roman" w:cs="Times New Roman"/>
          <w:spacing w:val="20"/>
          <w:sz w:val="24"/>
          <w:szCs w:val="24"/>
          <w:lang w:val="es-ES_tradnl"/>
        </w:rPr>
        <w:t xml:space="preserve"> de </w:t>
      </w:r>
      <w:r w:rsidR="003A357A">
        <w:rPr>
          <w:rFonts w:ascii="Times New Roman" w:hAnsi="Times New Roman" w:cs="Times New Roman"/>
          <w:spacing w:val="20"/>
          <w:sz w:val="24"/>
          <w:szCs w:val="24"/>
          <w:lang w:val="es-ES_tradnl"/>
        </w:rPr>
        <w:t>septiembre</w:t>
      </w:r>
      <w:r w:rsidRPr="006538EB">
        <w:rPr>
          <w:rFonts w:ascii="Times New Roman" w:hAnsi="Times New Roman" w:cs="Times New Roman"/>
          <w:spacing w:val="20"/>
          <w:sz w:val="24"/>
          <w:szCs w:val="24"/>
          <w:lang w:val="es-ES_tradnl"/>
        </w:rPr>
        <w:t xml:space="preserve"> de 201</w:t>
      </w:r>
      <w:r w:rsidR="003A357A">
        <w:rPr>
          <w:rFonts w:ascii="Times New Roman" w:hAnsi="Times New Roman" w:cs="Times New Roman"/>
          <w:spacing w:val="20"/>
          <w:sz w:val="24"/>
          <w:szCs w:val="24"/>
          <w:lang w:val="es-ES_tradnl"/>
        </w:rPr>
        <w:t>7</w:t>
      </w:r>
      <w:r w:rsidRPr="006538EB">
        <w:rPr>
          <w:rFonts w:ascii="Times New Roman" w:hAnsi="Times New Roman" w:cs="Times New Roman"/>
          <w:spacing w:val="20"/>
          <w:sz w:val="24"/>
          <w:szCs w:val="24"/>
          <w:lang w:val="es-ES_tradnl"/>
        </w:rPr>
        <w:t xml:space="preserve">, por lo que la suspensión del proceso a prueba vencerá el </w:t>
      </w:r>
      <w:r w:rsidR="00C34E66">
        <w:rPr>
          <w:rFonts w:ascii="Times New Roman" w:hAnsi="Times New Roman" w:cs="Times New Roman"/>
          <w:spacing w:val="20"/>
          <w:sz w:val="24"/>
          <w:szCs w:val="24"/>
          <w:lang w:val="es-ES_tradnl"/>
        </w:rPr>
        <w:t>11</w:t>
      </w:r>
      <w:r w:rsidRPr="006538EB">
        <w:rPr>
          <w:rFonts w:ascii="Times New Roman" w:hAnsi="Times New Roman" w:cs="Times New Roman"/>
          <w:spacing w:val="20"/>
          <w:sz w:val="24"/>
          <w:szCs w:val="24"/>
          <w:lang w:val="es-ES_tradnl"/>
        </w:rPr>
        <w:t xml:space="preserve"> de </w:t>
      </w:r>
      <w:r w:rsidR="003A357A">
        <w:rPr>
          <w:rFonts w:ascii="Times New Roman" w:hAnsi="Times New Roman" w:cs="Times New Roman"/>
          <w:spacing w:val="20"/>
          <w:sz w:val="24"/>
          <w:szCs w:val="24"/>
          <w:lang w:val="es-ES_tradnl"/>
        </w:rPr>
        <w:t>noviembre</w:t>
      </w:r>
      <w:r w:rsidRPr="006538EB">
        <w:rPr>
          <w:rFonts w:ascii="Times New Roman" w:hAnsi="Times New Roman" w:cs="Times New Roman"/>
          <w:spacing w:val="20"/>
          <w:sz w:val="24"/>
          <w:szCs w:val="24"/>
          <w:lang w:val="es-ES_tradnl"/>
        </w:rPr>
        <w:t xml:space="preserve"> de 201</w:t>
      </w:r>
      <w:r w:rsidR="003A357A">
        <w:rPr>
          <w:rFonts w:ascii="Times New Roman" w:hAnsi="Times New Roman" w:cs="Times New Roman"/>
          <w:spacing w:val="20"/>
          <w:sz w:val="24"/>
          <w:szCs w:val="24"/>
          <w:lang w:val="es-ES_tradnl"/>
        </w:rPr>
        <w:t>7</w:t>
      </w:r>
      <w:r w:rsidRPr="006538EB">
        <w:rPr>
          <w:rFonts w:ascii="Times New Roman" w:hAnsi="Times New Roman" w:cs="Times New Roman"/>
          <w:spacing w:val="20"/>
          <w:sz w:val="24"/>
          <w:szCs w:val="24"/>
          <w:lang w:val="es-ES_tradnl"/>
        </w:rPr>
        <w:t xml:space="preserve">, a fin de que </w:t>
      </w:r>
      <w:r w:rsidR="00C34E66">
        <w:rPr>
          <w:rFonts w:ascii="Times New Roman" w:hAnsi="Times New Roman" w:cs="Times New Roman"/>
          <w:spacing w:val="20"/>
          <w:sz w:val="24"/>
          <w:szCs w:val="24"/>
          <w:lang w:val="es-ES_tradnl"/>
        </w:rPr>
        <w:t xml:space="preserve">cumpla con las </w:t>
      </w:r>
      <w:r w:rsidR="00C34E66">
        <w:rPr>
          <w:rFonts w:ascii="Times New Roman" w:hAnsi="Times New Roman" w:cs="Times New Roman"/>
          <w:spacing w:val="20"/>
          <w:sz w:val="24"/>
          <w:szCs w:val="24"/>
        </w:rPr>
        <w:t xml:space="preserve">treinta horas de trabajo comunitario en la </w:t>
      </w:r>
      <w:r w:rsidR="003A357A" w:rsidRPr="003A357A">
        <w:rPr>
          <w:rFonts w:ascii="Times New Roman" w:hAnsi="Times New Roman" w:cs="Times New Roman"/>
          <w:spacing w:val="20"/>
          <w:sz w:val="24"/>
          <w:szCs w:val="24"/>
        </w:rPr>
        <w:t>Asociación Desamparados</w:t>
      </w:r>
      <w:r w:rsidR="003A357A">
        <w:rPr>
          <w:rFonts w:ascii="Times New Roman" w:hAnsi="Times New Roman" w:cs="Times New Roman"/>
          <w:spacing w:val="20"/>
          <w:sz w:val="24"/>
          <w:szCs w:val="24"/>
        </w:rPr>
        <w:t>.</w:t>
      </w:r>
    </w:p>
    <w:p w:rsidR="006538EB" w:rsidRPr="006538EB" w:rsidRDefault="006538EB" w:rsidP="006538EB">
      <w:pPr>
        <w:suppressAutoHyphens/>
        <w:spacing w:after="160" w:line="360" w:lineRule="auto"/>
        <w:ind w:firstLine="708"/>
        <w:jc w:val="both"/>
        <w:rPr>
          <w:rFonts w:ascii="Times New Roman" w:hAnsi="Times New Roman" w:cs="Times New Roman"/>
          <w:spacing w:val="20"/>
          <w:sz w:val="24"/>
          <w:szCs w:val="24"/>
          <w:lang w:val="es-ES"/>
        </w:rPr>
      </w:pPr>
      <w:r w:rsidRPr="006538EB">
        <w:rPr>
          <w:rFonts w:ascii="Times New Roman" w:hAnsi="Times New Roman" w:cs="Times New Roman"/>
          <w:b/>
          <w:spacing w:val="20"/>
          <w:sz w:val="24"/>
          <w:szCs w:val="24"/>
          <w:lang w:val="es-ES_tradnl"/>
        </w:rPr>
        <w:t xml:space="preserve"> </w:t>
      </w:r>
      <w:r w:rsidRPr="006538EB">
        <w:rPr>
          <w:rFonts w:ascii="Times New Roman" w:hAnsi="Times New Roman" w:cs="Times New Roman"/>
          <w:spacing w:val="20"/>
          <w:sz w:val="24"/>
          <w:szCs w:val="24"/>
          <w:lang w:val="es-ES"/>
        </w:rPr>
        <w:t xml:space="preserve">En consecuencia, </w:t>
      </w:r>
      <w:r w:rsidRPr="006538EB">
        <w:rPr>
          <w:rFonts w:ascii="Times New Roman" w:hAnsi="Times New Roman" w:cs="Times New Roman"/>
          <w:b/>
          <w:spacing w:val="20"/>
          <w:sz w:val="24"/>
          <w:szCs w:val="24"/>
          <w:u w:val="single"/>
          <w:lang w:val="es-ES"/>
        </w:rPr>
        <w:t>RESUELVO</w:t>
      </w:r>
      <w:r w:rsidRPr="006538EB">
        <w:rPr>
          <w:rFonts w:ascii="Times New Roman" w:hAnsi="Times New Roman" w:cs="Times New Roman"/>
          <w:b/>
          <w:spacing w:val="20"/>
          <w:sz w:val="24"/>
          <w:szCs w:val="24"/>
          <w:lang w:val="es-ES"/>
        </w:rPr>
        <w:t>:</w:t>
      </w:r>
      <w:r w:rsidRPr="006538EB">
        <w:rPr>
          <w:rFonts w:ascii="Times New Roman" w:hAnsi="Times New Roman" w:cs="Times New Roman"/>
          <w:spacing w:val="20"/>
          <w:sz w:val="24"/>
          <w:szCs w:val="24"/>
          <w:lang w:val="es-ES"/>
        </w:rPr>
        <w:t xml:space="preserve"> </w:t>
      </w:r>
    </w:p>
    <w:p w:rsidR="006538EB" w:rsidRPr="006538EB" w:rsidRDefault="006538EB" w:rsidP="006538EB">
      <w:pPr>
        <w:suppressAutoHyphens/>
        <w:spacing w:after="160" w:line="360" w:lineRule="auto"/>
        <w:ind w:firstLine="708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 w:rsidRPr="006538EB">
        <w:rPr>
          <w:rFonts w:ascii="Times New Roman" w:hAnsi="Times New Roman" w:cs="Times New Roman"/>
          <w:b/>
          <w:spacing w:val="20"/>
          <w:sz w:val="24"/>
          <w:szCs w:val="24"/>
          <w:lang w:val="es-ES"/>
        </w:rPr>
        <w:t>I)</w:t>
      </w:r>
      <w:r w:rsidRPr="006538EB">
        <w:rPr>
          <w:rFonts w:ascii="Times New Roman" w:hAnsi="Times New Roman" w:cs="Times New Roman"/>
          <w:spacing w:val="20"/>
          <w:sz w:val="24"/>
          <w:szCs w:val="24"/>
          <w:lang w:val="es-ES"/>
        </w:rPr>
        <w:t xml:space="preserve"> </w:t>
      </w:r>
      <w:r w:rsidRPr="006538EB">
        <w:rPr>
          <w:rFonts w:ascii="Times New Roman" w:hAnsi="Times New Roman" w:cs="Times New Roman"/>
          <w:b/>
          <w:spacing w:val="20"/>
          <w:sz w:val="24"/>
          <w:szCs w:val="24"/>
          <w:lang w:val="es-ES"/>
        </w:rPr>
        <w:t xml:space="preserve">CONCEDER UNA PRÓRROGA POR EL TÉRMINO DE </w:t>
      </w:r>
      <w:r w:rsidR="003A357A">
        <w:rPr>
          <w:rFonts w:ascii="Times New Roman" w:hAnsi="Times New Roman" w:cs="Times New Roman"/>
          <w:b/>
          <w:spacing w:val="20"/>
          <w:sz w:val="24"/>
          <w:szCs w:val="24"/>
          <w:lang w:val="es-ES"/>
        </w:rPr>
        <w:t>DOS</w:t>
      </w:r>
      <w:r w:rsidRPr="006538EB">
        <w:rPr>
          <w:rFonts w:ascii="Times New Roman" w:hAnsi="Times New Roman" w:cs="Times New Roman"/>
          <w:b/>
          <w:spacing w:val="20"/>
          <w:sz w:val="24"/>
          <w:szCs w:val="24"/>
          <w:lang w:val="es-ES"/>
        </w:rPr>
        <w:t xml:space="preserve"> (</w:t>
      </w:r>
      <w:r w:rsidR="003A357A">
        <w:rPr>
          <w:rFonts w:ascii="Times New Roman" w:hAnsi="Times New Roman" w:cs="Times New Roman"/>
          <w:b/>
          <w:spacing w:val="20"/>
          <w:sz w:val="24"/>
          <w:szCs w:val="24"/>
          <w:lang w:val="es-ES"/>
        </w:rPr>
        <w:t>2</w:t>
      </w:r>
      <w:r w:rsidRPr="006538EB">
        <w:rPr>
          <w:rFonts w:ascii="Times New Roman" w:hAnsi="Times New Roman" w:cs="Times New Roman"/>
          <w:b/>
          <w:spacing w:val="20"/>
          <w:sz w:val="24"/>
          <w:szCs w:val="24"/>
          <w:lang w:val="es-ES"/>
        </w:rPr>
        <w:t>) MESES</w:t>
      </w:r>
      <w:r w:rsidRPr="006538EB">
        <w:rPr>
          <w:rFonts w:ascii="Times New Roman" w:hAnsi="Times New Roman" w:cs="Times New Roman"/>
          <w:spacing w:val="20"/>
          <w:sz w:val="24"/>
          <w:szCs w:val="24"/>
          <w:lang w:val="es-ES"/>
        </w:rPr>
        <w:t xml:space="preserve">, </w:t>
      </w:r>
      <w:r w:rsidRPr="006538EB">
        <w:rPr>
          <w:rFonts w:ascii="Times New Roman" w:hAnsi="Times New Roman" w:cs="Times New Roman"/>
          <w:spacing w:val="20"/>
          <w:sz w:val="24"/>
          <w:szCs w:val="24"/>
        </w:rPr>
        <w:t xml:space="preserve">a computarse desde el </w:t>
      </w:r>
      <w:r w:rsidR="003A357A" w:rsidRPr="003A357A">
        <w:rPr>
          <w:rFonts w:ascii="Times New Roman" w:hAnsi="Times New Roman" w:cs="Times New Roman"/>
          <w:spacing w:val="20"/>
          <w:sz w:val="24"/>
          <w:szCs w:val="24"/>
          <w:lang w:val="es-ES_tradnl"/>
        </w:rPr>
        <w:t>11 de septiembre de 2017</w:t>
      </w:r>
      <w:r w:rsidRPr="006538EB">
        <w:rPr>
          <w:rFonts w:ascii="Times New Roman" w:hAnsi="Times New Roman" w:cs="Times New Roman"/>
          <w:spacing w:val="20"/>
          <w:sz w:val="24"/>
          <w:szCs w:val="24"/>
        </w:rPr>
        <w:t xml:space="preserve">, la cual vencerá el día </w:t>
      </w:r>
      <w:r w:rsidR="003A357A" w:rsidRPr="003A357A">
        <w:rPr>
          <w:rFonts w:ascii="Times New Roman" w:hAnsi="Times New Roman" w:cs="Times New Roman"/>
          <w:b/>
          <w:spacing w:val="20"/>
          <w:sz w:val="24"/>
          <w:szCs w:val="24"/>
          <w:lang w:val="es-ES_tradnl"/>
        </w:rPr>
        <w:t>11 de noviembre de 2017</w:t>
      </w:r>
      <w:r w:rsidRPr="006538EB">
        <w:rPr>
          <w:rFonts w:ascii="Times New Roman" w:hAnsi="Times New Roman" w:cs="Times New Roman"/>
          <w:spacing w:val="20"/>
          <w:sz w:val="24"/>
          <w:szCs w:val="24"/>
          <w:lang w:val="es-ES"/>
        </w:rPr>
        <w:t xml:space="preserve">, respecto del señor </w:t>
      </w:r>
      <w:r w:rsidR="003A357A">
        <w:rPr>
          <w:rFonts w:ascii="Times New Roman" w:hAnsi="Times New Roman" w:cs="Times New Roman"/>
          <w:b/>
          <w:spacing w:val="20"/>
          <w:sz w:val="24"/>
          <w:szCs w:val="24"/>
        </w:rPr>
        <w:t>Gerardo González</w:t>
      </w:r>
      <w:r w:rsidRPr="006538EB">
        <w:rPr>
          <w:rFonts w:ascii="Times New Roman" w:hAnsi="Times New Roman" w:cs="Times New Roman"/>
          <w:spacing w:val="20"/>
          <w:sz w:val="24"/>
          <w:szCs w:val="24"/>
        </w:rPr>
        <w:t xml:space="preserve">, titular del DNI Nº </w:t>
      </w:r>
      <w:r w:rsidR="003A357A">
        <w:rPr>
          <w:rFonts w:ascii="Times New Roman" w:hAnsi="Times New Roman" w:cs="Times New Roman"/>
          <w:spacing w:val="20"/>
          <w:sz w:val="24"/>
          <w:szCs w:val="24"/>
        </w:rPr>
        <w:t>35.555.435</w:t>
      </w:r>
      <w:r w:rsidRPr="006538EB">
        <w:rPr>
          <w:rFonts w:ascii="Times New Roman" w:hAnsi="Times New Roman" w:cs="Times New Roman"/>
          <w:b/>
          <w:spacing w:val="20"/>
          <w:sz w:val="24"/>
          <w:szCs w:val="24"/>
          <w:lang w:val="es-ES"/>
        </w:rPr>
        <w:t>,</w:t>
      </w:r>
      <w:r w:rsidRPr="006538EB"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  <w:r w:rsidRPr="006538EB">
        <w:rPr>
          <w:rFonts w:ascii="Times New Roman" w:hAnsi="Times New Roman" w:cs="Times New Roman"/>
          <w:spacing w:val="20"/>
          <w:sz w:val="24"/>
          <w:szCs w:val="24"/>
        </w:rPr>
        <w:t xml:space="preserve">del plazo de la suspensión del proceso a prueba otorgada el </w:t>
      </w:r>
      <w:r w:rsidR="003A357A" w:rsidRPr="003A357A">
        <w:rPr>
          <w:rFonts w:ascii="Times New Roman" w:hAnsi="Times New Roman" w:cs="Times New Roman"/>
          <w:spacing w:val="20"/>
          <w:sz w:val="24"/>
          <w:szCs w:val="24"/>
        </w:rPr>
        <w:t>11 de mayo de 2017</w:t>
      </w:r>
      <w:r w:rsidR="003A357A">
        <w:rPr>
          <w:rFonts w:ascii="Times New Roman" w:hAnsi="Times New Roman" w:cs="Times New Roman"/>
          <w:spacing w:val="20"/>
          <w:sz w:val="24"/>
          <w:szCs w:val="24"/>
        </w:rPr>
        <w:t>.</w:t>
      </w:r>
    </w:p>
    <w:p w:rsidR="006538EB" w:rsidRPr="006538EB" w:rsidRDefault="006538EB" w:rsidP="006538EB">
      <w:pPr>
        <w:suppressAutoHyphens/>
        <w:spacing w:after="160" w:line="360" w:lineRule="auto"/>
        <w:ind w:firstLine="708"/>
        <w:jc w:val="both"/>
        <w:rPr>
          <w:rFonts w:ascii="Times New Roman" w:hAnsi="Times New Roman" w:cs="Times New Roman"/>
          <w:spacing w:val="20"/>
          <w:sz w:val="24"/>
          <w:szCs w:val="24"/>
          <w:lang w:val="es-ES"/>
        </w:rPr>
      </w:pPr>
      <w:r w:rsidRPr="006538EB">
        <w:rPr>
          <w:rFonts w:ascii="Times New Roman" w:hAnsi="Times New Roman" w:cs="Times New Roman"/>
          <w:b/>
          <w:spacing w:val="20"/>
          <w:sz w:val="24"/>
          <w:szCs w:val="24"/>
          <w:lang w:val="es-ES"/>
        </w:rPr>
        <w:t>II)</w:t>
      </w:r>
      <w:r w:rsidRPr="006538EB">
        <w:rPr>
          <w:rFonts w:ascii="Times New Roman" w:hAnsi="Times New Roman" w:cs="Times New Roman"/>
          <w:spacing w:val="20"/>
          <w:sz w:val="24"/>
          <w:szCs w:val="24"/>
          <w:lang w:val="es-ES"/>
        </w:rPr>
        <w:t xml:space="preserve"> </w:t>
      </w:r>
      <w:r w:rsidRPr="006538EB">
        <w:rPr>
          <w:rFonts w:ascii="Times New Roman" w:hAnsi="Times New Roman" w:cs="Times New Roman"/>
          <w:b/>
          <w:spacing w:val="20"/>
          <w:sz w:val="24"/>
          <w:szCs w:val="24"/>
          <w:lang w:val="es-ES"/>
        </w:rPr>
        <w:t>NOTIFIQUESE</w:t>
      </w:r>
      <w:r w:rsidRPr="006538EB">
        <w:rPr>
          <w:rFonts w:ascii="Times New Roman" w:hAnsi="Times New Roman" w:cs="Times New Roman"/>
          <w:spacing w:val="20"/>
          <w:sz w:val="24"/>
          <w:szCs w:val="24"/>
          <w:lang w:val="es-ES"/>
        </w:rPr>
        <w:t xml:space="preserve"> al</w:t>
      </w:r>
      <w:r w:rsidR="00C34E66">
        <w:rPr>
          <w:rFonts w:ascii="Times New Roman" w:hAnsi="Times New Roman" w:cs="Times New Roman"/>
          <w:spacing w:val="20"/>
          <w:sz w:val="24"/>
          <w:szCs w:val="24"/>
          <w:lang w:val="es-ES"/>
        </w:rPr>
        <w:t xml:space="preserve"> imputado junto con su Defensor</w:t>
      </w:r>
      <w:r w:rsidRPr="006538EB">
        <w:rPr>
          <w:rFonts w:ascii="Times New Roman" w:hAnsi="Times New Roman" w:cs="Times New Roman"/>
          <w:spacing w:val="20"/>
          <w:sz w:val="24"/>
          <w:szCs w:val="24"/>
          <w:lang w:val="es-ES"/>
        </w:rPr>
        <w:t xml:space="preserve"> Oficial, a la Fiscalía y a la Oficina de Contro</w:t>
      </w:r>
      <w:r w:rsidR="003A357A">
        <w:rPr>
          <w:rFonts w:ascii="Times New Roman" w:hAnsi="Times New Roman" w:cs="Times New Roman"/>
          <w:spacing w:val="20"/>
          <w:sz w:val="24"/>
          <w:szCs w:val="24"/>
          <w:lang w:val="es-ES"/>
        </w:rPr>
        <w:t>l mediante cédulas electrónicas.</w:t>
      </w:r>
    </w:p>
    <w:p w:rsidR="006538EB" w:rsidRPr="006538EB" w:rsidRDefault="006538EB" w:rsidP="006538EB">
      <w:pPr>
        <w:suppressAutoHyphens/>
        <w:spacing w:after="160" w:line="360" w:lineRule="auto"/>
        <w:ind w:firstLine="708"/>
        <w:jc w:val="both"/>
        <w:rPr>
          <w:rFonts w:ascii="Times New Roman" w:hAnsi="Times New Roman" w:cs="Times New Roman"/>
          <w:spacing w:val="20"/>
          <w:sz w:val="24"/>
          <w:szCs w:val="24"/>
          <w:lang w:val="es-ES"/>
        </w:rPr>
      </w:pPr>
    </w:p>
    <w:p w:rsidR="006538EB" w:rsidRPr="006538EB" w:rsidRDefault="006538EB" w:rsidP="006538EB">
      <w:pPr>
        <w:suppressAutoHyphens/>
        <w:spacing w:after="160" w:line="360" w:lineRule="auto"/>
        <w:ind w:firstLine="708"/>
        <w:jc w:val="both"/>
        <w:rPr>
          <w:rFonts w:ascii="Times New Roman" w:hAnsi="Times New Roman" w:cs="Times New Roman"/>
          <w:spacing w:val="20"/>
          <w:sz w:val="24"/>
          <w:szCs w:val="24"/>
          <w:lang w:val="es-ES"/>
        </w:rPr>
      </w:pPr>
    </w:p>
    <w:p w:rsidR="006538EB" w:rsidRPr="006538EB" w:rsidRDefault="006538EB" w:rsidP="006538EB">
      <w:pPr>
        <w:suppressAutoHyphens/>
        <w:spacing w:after="160" w:line="360" w:lineRule="auto"/>
        <w:ind w:firstLine="708"/>
        <w:jc w:val="both"/>
        <w:rPr>
          <w:rFonts w:ascii="Times New Roman" w:hAnsi="Times New Roman" w:cs="Times New Roman"/>
          <w:spacing w:val="20"/>
          <w:sz w:val="24"/>
          <w:szCs w:val="24"/>
          <w:lang w:val="es-ES"/>
        </w:rPr>
      </w:pPr>
    </w:p>
    <w:p w:rsidR="006538EB" w:rsidRPr="006538EB" w:rsidRDefault="006538EB" w:rsidP="006538EB">
      <w:pPr>
        <w:suppressAutoHyphens/>
        <w:spacing w:after="160" w:line="360" w:lineRule="auto"/>
        <w:ind w:firstLine="708"/>
        <w:jc w:val="both"/>
        <w:rPr>
          <w:rFonts w:ascii="Times New Roman" w:hAnsi="Times New Roman" w:cs="Times New Roman"/>
          <w:spacing w:val="20"/>
          <w:sz w:val="24"/>
          <w:szCs w:val="24"/>
          <w:lang w:val="es-ES"/>
        </w:rPr>
      </w:pPr>
    </w:p>
    <w:p w:rsidR="00C34E66" w:rsidRDefault="00C34E66" w:rsidP="00C34E66">
      <w:pPr>
        <w:suppressAutoHyphens/>
        <w:spacing w:after="160" w:line="360" w:lineRule="auto"/>
        <w:jc w:val="both"/>
        <w:rPr>
          <w:rFonts w:ascii="Times New Roman" w:hAnsi="Times New Roman" w:cs="Times New Roman"/>
          <w:spacing w:val="20"/>
          <w:sz w:val="24"/>
          <w:szCs w:val="24"/>
          <w:lang w:val="es-ES"/>
        </w:rPr>
      </w:pPr>
    </w:p>
    <w:p w:rsidR="00F141BE" w:rsidRDefault="006538EB" w:rsidP="00C34E66">
      <w:pPr>
        <w:suppressAutoHyphens/>
        <w:spacing w:after="160" w:line="360" w:lineRule="auto"/>
        <w:jc w:val="both"/>
      </w:pPr>
      <w:r w:rsidRPr="006538EB">
        <w:rPr>
          <w:rFonts w:ascii="Times New Roman" w:hAnsi="Times New Roman" w:cs="Times New Roman"/>
          <w:spacing w:val="20"/>
          <w:sz w:val="24"/>
          <w:szCs w:val="24"/>
          <w:lang w:val="es-ES"/>
        </w:rPr>
        <w:t xml:space="preserve">En     de </w:t>
      </w:r>
      <w:r w:rsidR="003A357A">
        <w:rPr>
          <w:rFonts w:ascii="Times New Roman" w:hAnsi="Times New Roman" w:cs="Times New Roman"/>
          <w:spacing w:val="20"/>
          <w:sz w:val="24"/>
          <w:szCs w:val="24"/>
          <w:lang w:val="es-ES"/>
        </w:rPr>
        <w:t>octubre</w:t>
      </w:r>
      <w:r w:rsidR="00C34E66">
        <w:rPr>
          <w:rFonts w:ascii="Times New Roman" w:hAnsi="Times New Roman" w:cs="Times New Roman"/>
          <w:spacing w:val="20"/>
          <w:sz w:val="24"/>
          <w:szCs w:val="24"/>
          <w:lang w:val="es-ES"/>
        </w:rPr>
        <w:t xml:space="preserve"> de 201</w:t>
      </w:r>
      <w:r w:rsidR="003A357A">
        <w:rPr>
          <w:rFonts w:ascii="Times New Roman" w:hAnsi="Times New Roman" w:cs="Times New Roman"/>
          <w:spacing w:val="20"/>
          <w:sz w:val="24"/>
          <w:szCs w:val="24"/>
          <w:lang w:val="es-ES"/>
        </w:rPr>
        <w:t>7</w:t>
      </w:r>
      <w:r w:rsidR="00C34E66">
        <w:rPr>
          <w:rFonts w:ascii="Times New Roman" w:hAnsi="Times New Roman" w:cs="Times New Roman"/>
          <w:spacing w:val="20"/>
          <w:sz w:val="24"/>
          <w:szCs w:val="24"/>
          <w:lang w:val="es-ES"/>
        </w:rPr>
        <w:t xml:space="preserve"> </w:t>
      </w:r>
      <w:r w:rsidRPr="006538EB">
        <w:rPr>
          <w:rFonts w:ascii="Times New Roman" w:hAnsi="Times New Roman" w:cs="Times New Roman"/>
          <w:spacing w:val="20"/>
          <w:sz w:val="24"/>
          <w:szCs w:val="24"/>
          <w:lang w:val="es-ES"/>
        </w:rPr>
        <w:t xml:space="preserve">se libraron tres cédulas electrónicas a la Fiscalía Nº </w:t>
      </w:r>
      <w:r w:rsidR="00C34E66">
        <w:rPr>
          <w:rFonts w:ascii="Times New Roman" w:hAnsi="Times New Roman" w:cs="Times New Roman"/>
          <w:spacing w:val="20"/>
          <w:sz w:val="24"/>
          <w:szCs w:val="24"/>
          <w:lang w:val="es-ES"/>
        </w:rPr>
        <w:t>24</w:t>
      </w:r>
      <w:r w:rsidRPr="006538EB">
        <w:rPr>
          <w:rFonts w:ascii="Times New Roman" w:hAnsi="Times New Roman" w:cs="Times New Roman"/>
          <w:spacing w:val="20"/>
          <w:sz w:val="24"/>
          <w:szCs w:val="24"/>
          <w:lang w:val="es-ES"/>
        </w:rPr>
        <w:t>, Defensoría Nº 1</w:t>
      </w:r>
      <w:r w:rsidR="00C34E66">
        <w:rPr>
          <w:rFonts w:ascii="Times New Roman" w:hAnsi="Times New Roman" w:cs="Times New Roman"/>
          <w:spacing w:val="20"/>
          <w:sz w:val="24"/>
          <w:szCs w:val="24"/>
          <w:lang w:val="es-ES"/>
        </w:rPr>
        <w:t>2</w:t>
      </w:r>
      <w:r w:rsidRPr="006538EB">
        <w:rPr>
          <w:rFonts w:ascii="Times New Roman" w:hAnsi="Times New Roman" w:cs="Times New Roman"/>
          <w:spacing w:val="20"/>
          <w:sz w:val="24"/>
          <w:szCs w:val="24"/>
          <w:lang w:val="es-ES"/>
        </w:rPr>
        <w:t xml:space="preserve"> y a </w:t>
      </w:r>
      <w:bookmarkStart w:id="0" w:name="_GoBack"/>
      <w:bookmarkEnd w:id="0"/>
      <w:r w:rsidRPr="006538EB">
        <w:rPr>
          <w:rFonts w:ascii="Times New Roman" w:hAnsi="Times New Roman" w:cs="Times New Roman"/>
          <w:spacing w:val="20"/>
          <w:sz w:val="24"/>
          <w:szCs w:val="24"/>
          <w:lang w:val="es-ES"/>
        </w:rPr>
        <w:t>la Oficina de Control.</w:t>
      </w:r>
    </w:p>
    <w:sectPr w:rsidR="00F141BE" w:rsidSect="003A357A">
      <w:footerReference w:type="default" r:id="rId8"/>
      <w:headerReference w:type="first" r:id="rId9"/>
      <w:footerReference w:type="first" r:id="rId10"/>
      <w:pgSz w:w="11906" w:h="16838"/>
      <w:pgMar w:top="1985" w:right="851" w:bottom="851" w:left="1843" w:header="851" w:footer="709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5D2A" w:rsidRDefault="005D5D2A">
      <w:pPr>
        <w:spacing w:after="0" w:line="240" w:lineRule="auto"/>
      </w:pPr>
      <w:r>
        <w:separator/>
      </w:r>
    </w:p>
  </w:endnote>
  <w:endnote w:type="continuationSeparator" w:id="0">
    <w:p w:rsidR="005D5D2A" w:rsidRDefault="005D5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5200F5FF" w:usb2="0A24202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1BE" w:rsidRDefault="001F73D3">
    <w:pPr>
      <w:shd w:val="clear" w:color="auto" w:fill="FFFFFF"/>
      <w:ind w:left="-142" w:right="-1"/>
      <w:jc w:val="both"/>
    </w:pPr>
    <w:bookmarkStart w:id="1" w:name="_Hlk510000104"/>
    <w:r>
      <w:rPr>
        <w:bCs/>
        <w:color w:val="14171A"/>
        <w:spacing w:val="20"/>
        <w:sz w:val="18"/>
        <w:szCs w:val="18"/>
      </w:rPr>
      <w:t xml:space="preserve">Juzgado PCyF Nº 10 - Tacuarí 138, 7º Piso - </w:t>
    </w:r>
    <w:hyperlink r:id="rId1">
      <w:r>
        <w:rPr>
          <w:rStyle w:val="InternetLink"/>
          <w:bCs/>
          <w:spacing w:val="20"/>
          <w:sz w:val="18"/>
          <w:szCs w:val="18"/>
        </w:rPr>
        <w:t>juzcyf10@jusbaires.gob.ar</w:t>
      </w:r>
    </w:hyperlink>
    <w:r>
      <w:rPr>
        <w:bCs/>
        <w:color w:val="14171A"/>
        <w:spacing w:val="20"/>
        <w:sz w:val="18"/>
        <w:szCs w:val="18"/>
      </w:rPr>
      <w:t xml:space="preserve"> - 4014-6821/20 - </w:t>
    </w:r>
    <w:hyperlink r:id="rId2">
      <w:bookmarkEnd w:id="1"/>
      <w:r>
        <w:rPr>
          <w:rStyle w:val="username"/>
          <w:color w:val="657786"/>
          <w:spacing w:val="20"/>
          <w:sz w:val="18"/>
          <w:szCs w:val="18"/>
        </w:rPr>
        <w:t>@jpcyf10</w:t>
      </w:r>
    </w:hyperlink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1BE" w:rsidRDefault="001F73D3">
    <w:pPr>
      <w:shd w:val="clear" w:color="auto" w:fill="FFFFFF"/>
      <w:ind w:left="-142" w:right="-1"/>
      <w:jc w:val="both"/>
    </w:pPr>
    <w:r>
      <w:rPr>
        <w:bCs/>
        <w:color w:val="14171A"/>
        <w:spacing w:val="20"/>
        <w:sz w:val="18"/>
        <w:szCs w:val="18"/>
      </w:rPr>
      <w:t xml:space="preserve">Juzgado PCyF Nº 10 - Tacuarí 138, 7º Piso - </w:t>
    </w:r>
    <w:hyperlink r:id="rId1">
      <w:r>
        <w:rPr>
          <w:rStyle w:val="InternetLink"/>
          <w:bCs/>
          <w:spacing w:val="20"/>
          <w:sz w:val="18"/>
          <w:szCs w:val="18"/>
        </w:rPr>
        <w:t>juzcyf10@jusbaires.gob.ar</w:t>
      </w:r>
    </w:hyperlink>
    <w:r>
      <w:rPr>
        <w:bCs/>
        <w:color w:val="14171A"/>
        <w:spacing w:val="20"/>
        <w:sz w:val="18"/>
        <w:szCs w:val="18"/>
      </w:rPr>
      <w:t xml:space="preserve"> - 4014-6821/20 - </w:t>
    </w:r>
    <w:hyperlink r:id="rId2">
      <w:r>
        <w:rPr>
          <w:rStyle w:val="username"/>
          <w:color w:val="657786"/>
          <w:spacing w:val="20"/>
          <w:sz w:val="18"/>
          <w:szCs w:val="18"/>
        </w:rPr>
        <w:t>@jpcyf10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5D2A" w:rsidRDefault="005D5D2A">
      <w:pPr>
        <w:spacing w:after="0" w:line="240" w:lineRule="auto"/>
      </w:pPr>
      <w:r>
        <w:separator/>
      </w:r>
    </w:p>
  </w:footnote>
  <w:footnote w:type="continuationSeparator" w:id="0">
    <w:p w:rsidR="005D5D2A" w:rsidRDefault="005D5D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1BE" w:rsidRDefault="001F73D3">
    <w:pPr>
      <w:pStyle w:val="NormalWeb"/>
      <w:shd w:val="clear" w:color="auto" w:fill="FFFFFF"/>
      <w:spacing w:beforeAutospacing="0" w:after="0" w:afterAutospacing="0"/>
      <w:rPr>
        <w:b/>
        <w:bCs/>
        <w:color w:val="222222"/>
        <w:sz w:val="16"/>
        <w:szCs w:val="16"/>
        <w:highlight w:val="white"/>
      </w:rPr>
    </w:pPr>
    <w:r>
      <w:rPr>
        <w:noProof/>
        <w:lang w:val="es-ES" w:eastAsia="es-ES"/>
      </w:rPr>
      <w:drawing>
        <wp:inline distT="0" distB="0" distL="0" distR="0" wp14:anchorId="4B2D5108" wp14:editId="248A71BB">
          <wp:extent cx="2533650" cy="422275"/>
          <wp:effectExtent l="0" t="0" r="0" b="0"/>
          <wp:docPr id="1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2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33650" cy="422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bCs/>
        <w:color w:val="222222"/>
        <w:sz w:val="16"/>
        <w:szCs w:val="16"/>
        <w:shd w:val="clear" w:color="auto" w:fill="FFFFFF"/>
      </w:rPr>
      <w:tab/>
    </w:r>
  </w:p>
  <w:p w:rsidR="00F141BE" w:rsidRDefault="001F73D3">
    <w:pPr>
      <w:pStyle w:val="NormalWeb"/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FFFFFF"/>
      <w:spacing w:beforeAutospacing="0" w:after="120" w:afterAutospacing="0"/>
      <w:jc w:val="right"/>
      <w:rPr>
        <w:b/>
        <w:bCs/>
        <w:sz w:val="16"/>
      </w:rPr>
    </w:pPr>
    <w:r>
      <w:rPr>
        <w:b/>
        <w:bCs/>
        <w:sz w:val="16"/>
      </w:rPr>
      <w:t>JUZGADO DE 1RA INSTANCIA EN LO PENAL CONTRAVENCIONAL Y DE FALTAS N°10   SECRETARÍA UNICA</w:t>
    </w:r>
  </w:p>
  <w:p w:rsidR="00F141BE" w:rsidRDefault="003A357A">
    <w:pPr>
      <w:pStyle w:val="NormalWeb"/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FFFFFF"/>
      <w:spacing w:beforeAutospacing="0" w:after="120" w:afterAutospacing="0"/>
      <w:jc w:val="right"/>
      <w:rPr>
        <w:b/>
        <w:bCs/>
        <w:sz w:val="16"/>
      </w:rPr>
    </w:pPr>
    <w:r>
      <w:rPr>
        <w:b/>
        <w:bCs/>
        <w:sz w:val="16"/>
      </w:rPr>
      <w:t>GONZALEZ</w:t>
    </w:r>
    <w:r w:rsidR="001F73D3">
      <w:rPr>
        <w:b/>
        <w:bCs/>
        <w:sz w:val="16"/>
      </w:rPr>
      <w:t xml:space="preserve">, </w:t>
    </w:r>
    <w:r>
      <w:rPr>
        <w:b/>
        <w:bCs/>
        <w:sz w:val="16"/>
      </w:rPr>
      <w:t>GERARDO</w:t>
    </w:r>
    <w:r w:rsidR="001F73D3">
      <w:rPr>
        <w:b/>
        <w:bCs/>
        <w:sz w:val="16"/>
      </w:rPr>
      <w:t xml:space="preserve"> SOBRE 52 - HOSTIGAR, MALTRATAR, INTIMIDAR (Art. 52 según TC Ley 5666 y </w:t>
    </w:r>
    <w:proofErr w:type="spellStart"/>
    <w:r w:rsidR="001F73D3">
      <w:rPr>
        <w:b/>
        <w:bCs/>
        <w:sz w:val="16"/>
      </w:rPr>
      <w:t>modif</w:t>
    </w:r>
    <w:proofErr w:type="spellEnd"/>
    <w:r w:rsidR="001F73D3">
      <w:rPr>
        <w:b/>
        <w:bCs/>
        <w:sz w:val="16"/>
      </w:rPr>
      <w:t>.)</w:t>
    </w:r>
  </w:p>
  <w:p w:rsidR="00F141BE" w:rsidRDefault="001F73D3">
    <w:pPr>
      <w:pStyle w:val="NormalWeb"/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FFFFFF"/>
      <w:spacing w:beforeAutospacing="0" w:after="120" w:afterAutospacing="0"/>
      <w:jc w:val="right"/>
      <w:rPr>
        <w:b/>
        <w:bCs/>
        <w:sz w:val="16"/>
      </w:rPr>
    </w:pPr>
    <w:r>
      <w:rPr>
        <w:b/>
        <w:bCs/>
        <w:sz w:val="16"/>
      </w:rPr>
      <w:t>Número: IPP 18416/201</w:t>
    </w:r>
    <w:r w:rsidR="003A357A">
      <w:rPr>
        <w:b/>
        <w:bCs/>
        <w:sz w:val="16"/>
      </w:rPr>
      <w:t>7</w:t>
    </w:r>
    <w:r>
      <w:rPr>
        <w:b/>
        <w:bCs/>
        <w:sz w:val="16"/>
      </w:rPr>
      <w:t>-0</w:t>
    </w:r>
  </w:p>
  <w:p w:rsidR="00F141BE" w:rsidRDefault="001F73D3">
    <w:pPr>
      <w:pStyle w:val="NormalWeb"/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FFFFFF"/>
      <w:spacing w:beforeAutospacing="0" w:after="120" w:afterAutospacing="0"/>
      <w:jc w:val="right"/>
      <w:rPr>
        <w:b/>
        <w:bCs/>
        <w:sz w:val="16"/>
      </w:rPr>
    </w:pPr>
    <w:r>
      <w:rPr>
        <w:b/>
        <w:bCs/>
        <w:sz w:val="16"/>
      </w:rPr>
      <w:t>CUIJ: IPP J-01-0002240</w:t>
    </w:r>
    <w:r w:rsidR="003A357A">
      <w:rPr>
        <w:b/>
        <w:bCs/>
        <w:sz w:val="16"/>
      </w:rPr>
      <w:t>2</w:t>
    </w:r>
    <w:r>
      <w:rPr>
        <w:b/>
        <w:bCs/>
        <w:sz w:val="16"/>
      </w:rPr>
      <w:t>-7/201</w:t>
    </w:r>
    <w:r w:rsidR="003A357A">
      <w:rPr>
        <w:b/>
        <w:bCs/>
        <w:sz w:val="16"/>
      </w:rPr>
      <w:t>7</w:t>
    </w:r>
    <w:r>
      <w:rPr>
        <w:b/>
        <w:bCs/>
        <w:sz w:val="16"/>
      </w:rPr>
      <w:t>-0</w:t>
    </w:r>
  </w:p>
  <w:p w:rsidR="00F141BE" w:rsidRDefault="001F73D3">
    <w:pPr>
      <w:pStyle w:val="NormalWeb"/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FFFFFF"/>
      <w:spacing w:beforeAutospacing="0" w:after="120" w:afterAutospacing="0"/>
      <w:jc w:val="right"/>
      <w:rPr>
        <w:b/>
        <w:bCs/>
        <w:sz w:val="16"/>
      </w:rPr>
    </w:pPr>
    <w:r>
      <w:rPr>
        <w:b/>
        <w:bCs/>
        <w:sz w:val="16"/>
      </w:rPr>
      <w:t xml:space="preserve">Actuación </w:t>
    </w:r>
    <w:proofErr w:type="spellStart"/>
    <w:r>
      <w:rPr>
        <w:b/>
        <w:bCs/>
        <w:sz w:val="16"/>
      </w:rPr>
      <w:t>Nro</w:t>
    </w:r>
    <w:proofErr w:type="spellEnd"/>
    <w:r>
      <w:rPr>
        <w:b/>
        <w:bCs/>
        <w:sz w:val="16"/>
      </w:rPr>
      <w:t>: 1215349</w:t>
    </w:r>
    <w:r w:rsidR="003A357A">
      <w:rPr>
        <w:b/>
        <w:bCs/>
        <w:sz w:val="16"/>
      </w:rPr>
      <w:t>2</w:t>
    </w:r>
    <w:r>
      <w:rPr>
        <w:b/>
        <w:bCs/>
        <w:sz w:val="16"/>
      </w:rPr>
      <w:t>/201</w:t>
    </w:r>
    <w:r w:rsidR="003A357A">
      <w:rPr>
        <w:b/>
        <w:bCs/>
        <w:sz w:val="16"/>
      </w:rPr>
      <w:t>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1BE"/>
    <w:rsid w:val="001F73D3"/>
    <w:rsid w:val="002269FE"/>
    <w:rsid w:val="003A357A"/>
    <w:rsid w:val="005C32A4"/>
    <w:rsid w:val="005D5D2A"/>
    <w:rsid w:val="006538EB"/>
    <w:rsid w:val="00710B3D"/>
    <w:rsid w:val="00883A77"/>
    <w:rsid w:val="00C34E66"/>
    <w:rsid w:val="00D72A31"/>
    <w:rsid w:val="00DD6C0C"/>
    <w:rsid w:val="00F1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324F3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qFormat/>
    <w:rsid w:val="00324F30"/>
  </w:style>
  <w:style w:type="character" w:customStyle="1" w:styleId="EncabezadoCar">
    <w:name w:val="Encabezado Car"/>
    <w:basedOn w:val="Fuentedeprrafopredeter"/>
    <w:link w:val="Encabezado"/>
    <w:uiPriority w:val="99"/>
    <w:qFormat/>
    <w:rsid w:val="002D1C89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2D1C89"/>
  </w:style>
  <w:style w:type="character" w:styleId="nfasissutil">
    <w:name w:val="Subtle Emphasis"/>
    <w:basedOn w:val="Fuentedeprrafopredeter"/>
    <w:uiPriority w:val="19"/>
    <w:qFormat/>
    <w:rsid w:val="001E1217"/>
    <w:rPr>
      <w:i/>
      <w:iCs/>
      <w:color w:val="404040" w:themeColor="text1" w:themeTint="BF"/>
    </w:rPr>
  </w:style>
  <w:style w:type="character" w:customStyle="1" w:styleId="InternetLink">
    <w:name w:val="Internet Link"/>
    <w:rsid w:val="004C65B2"/>
    <w:rPr>
      <w:color w:val="0000FF"/>
      <w:u w:val="single"/>
    </w:rPr>
  </w:style>
  <w:style w:type="character" w:customStyle="1" w:styleId="username">
    <w:name w:val="username"/>
    <w:qFormat/>
    <w:rsid w:val="004C65B2"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324F3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324F3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2D1C89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2D1C89"/>
    <w:pPr>
      <w:tabs>
        <w:tab w:val="center" w:pos="4252"/>
        <w:tab w:val="right" w:pos="8504"/>
      </w:tabs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324F3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qFormat/>
    <w:rsid w:val="00324F30"/>
  </w:style>
  <w:style w:type="character" w:customStyle="1" w:styleId="EncabezadoCar">
    <w:name w:val="Encabezado Car"/>
    <w:basedOn w:val="Fuentedeprrafopredeter"/>
    <w:link w:val="Encabezado"/>
    <w:uiPriority w:val="99"/>
    <w:qFormat/>
    <w:rsid w:val="002D1C89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2D1C89"/>
  </w:style>
  <w:style w:type="character" w:styleId="nfasissutil">
    <w:name w:val="Subtle Emphasis"/>
    <w:basedOn w:val="Fuentedeprrafopredeter"/>
    <w:uiPriority w:val="19"/>
    <w:qFormat/>
    <w:rsid w:val="001E1217"/>
    <w:rPr>
      <w:i/>
      <w:iCs/>
      <w:color w:val="404040" w:themeColor="text1" w:themeTint="BF"/>
    </w:rPr>
  </w:style>
  <w:style w:type="character" w:customStyle="1" w:styleId="InternetLink">
    <w:name w:val="Internet Link"/>
    <w:rsid w:val="004C65B2"/>
    <w:rPr>
      <w:color w:val="0000FF"/>
      <w:u w:val="single"/>
    </w:rPr>
  </w:style>
  <w:style w:type="character" w:customStyle="1" w:styleId="username">
    <w:name w:val="username"/>
    <w:qFormat/>
    <w:rsid w:val="004C65B2"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324F3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324F3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2D1C89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2D1C89"/>
    <w:pPr>
      <w:tabs>
        <w:tab w:val="center" w:pos="4252"/>
        <w:tab w:val="right" w:pos="8504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twitter.com/jpcyf10" TargetMode="External"/><Relationship Id="rId1" Type="http://schemas.openxmlformats.org/officeDocument/2006/relationships/hyperlink" Target="mailto:juzcyf10@jusbaires.gob.ar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twitter.com/jpcyf10" TargetMode="External"/><Relationship Id="rId1" Type="http://schemas.openxmlformats.org/officeDocument/2006/relationships/hyperlink" Target="mailto:juzcyf10@jusbaires.gob.a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69513-246B-45D9-BFA0-8E6270A7F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419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DIT</Company>
  <LinksUpToDate>false</LinksUpToDate>
  <CharactersWithSpaces>2722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jmartinez</dc:creator>
  <cp:lastModifiedBy>philaire</cp:lastModifiedBy>
  <cp:revision>4</cp:revision>
  <cp:lastPrinted>2017-10-09T20:20:00Z</cp:lastPrinted>
  <dcterms:created xsi:type="dcterms:W3CDTF">2019-04-16T18:53:00Z</dcterms:created>
  <dcterms:modified xsi:type="dcterms:W3CDTF">2019-04-16T18:53:00Z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