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</w:t>
      </w:r>
      <w:r w:rsidDel="00000000" w:rsidR="00000000" w:rsidRPr="00000000">
        <w:rPr>
          <w:b w:val="1"/>
          <w:bCs w:val="1"/>
          <w:rtl w:val="0"/>
        </w:rPr>
        <w:t xml:space="preserve">tokenomics allocation chart</w:t>
      </w:r>
      <w:r w:rsidDel="00000000" w:rsidR="00000000" w:rsidRPr="00000000">
        <w:rPr>
          <w:rtl w:val="0"/>
        </w:rPr>
        <w:t xml:space="preserve"> for CamdenDAO’s $MAP token: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You, as the founding team, hold </w:t>
      </w:r>
      <w:r w:rsidDel="00000000" w:rsidR="00000000" w:rsidRPr="00000000">
        <w:rPr>
          <w:b w:val="1"/>
          <w:bCs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 of tokens — vesting over 4 years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Treasury (30%)</w:t>
      </w:r>
      <w:r w:rsidDel="00000000" w:rsidR="00000000" w:rsidRPr="00000000">
        <w:rPr>
          <w:rtl w:val="0"/>
        </w:rPr>
        <w:t xml:space="preserve"> funds public upgrades and proposals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Incentives (25%)</w:t>
      </w:r>
      <w:r w:rsidDel="00000000" w:rsidR="00000000" w:rsidRPr="00000000">
        <w:rPr>
          <w:rtl w:val="0"/>
        </w:rPr>
        <w:t xml:space="preserve"> fuel real contribution (like waste detection and consent schemas)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slices ensure governance, adoption, and liquidity happen ethically and transparently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