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C0B34">
      <w:pPr>
        <w:spacing w:before="200" w:after="120" w:line="324" w:lineRule="auto"/>
        <w:jc w:val="center"/>
      </w:pPr>
      <w:r>
        <w:rPr>
          <w:rFonts w:ascii="微软雅黑" w:hAnsi="微软雅黑" w:eastAsia="微软雅黑"/>
          <w:b/>
          <w:i w:val="0"/>
          <w:sz w:val="44"/>
        </w:rPr>
        <w:t>GDF15 核心图复现报告</w:t>
      </w:r>
    </w:p>
    <w:p w14:paraId="6F7E2F9D">
      <w:pPr>
        <w:spacing w:before="80" w:after="40" w:line="324" w:lineRule="auto"/>
        <w:jc w:val="center"/>
      </w:pPr>
      <w:r>
        <w:rPr>
          <w:rFonts w:ascii="微软雅黑" w:hAnsi="微软雅黑" w:eastAsia="微软雅黑"/>
          <w:b w:val="0"/>
          <w:i/>
          <w:sz w:val="21"/>
        </w:rPr>
        <w:t>论文：GDF15 promotes weight loss by enhancing energy expenditure in muscle</w:t>
      </w:r>
    </w:p>
    <w:p w14:paraId="2C43DC99">
      <w:pPr>
        <w:spacing w:before="80" w:after="40" w:line="324" w:lineRule="auto"/>
        <w:jc w:val="center"/>
      </w:pPr>
      <w:r>
        <w:rPr>
          <w:rFonts w:ascii="微软雅黑" w:hAnsi="微软雅黑" w:eastAsia="微软雅黑"/>
          <w:b w:val="0"/>
          <w:i w:val="0"/>
          <w:sz w:val="19"/>
        </w:rPr>
        <w:t>Nature 2023 ｜ DOI：10.1038/s41586-023-06249-4 ｜ 作者代码：Zenodo 10.5281/zenodo.7838970</w:t>
      </w:r>
    </w:p>
    <w:p w14:paraId="07EDA477"/>
    <w:p w14:paraId="24049C0B">
      <w:pPr>
        <w:spacing w:before="80" w:after="240" w:line="324" w:lineRule="auto"/>
        <w:jc w:val="center"/>
        <w:rPr>
          <w:rFonts w:ascii="微软雅黑" w:hAnsi="微软雅黑" w:eastAsia="微软雅黑"/>
          <w:b w:val="0"/>
          <w:i w:val="0"/>
          <w:color w:val="666666"/>
          <w:sz w:val="19"/>
        </w:rPr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  <w:t xml:space="preserve">报告日期：2026-10-15 ｜ 环境：Windows 11、R </w:t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1949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  <w:lang w:val="en-US" w:eastAsia="en-US" w:bidi="ar-SA"/>
        </w:rPr>
      </w:sdtEndPr>
      <w:sdtContent>
        <w:p w14:paraId="04D4AF4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0FC8DF0">
          <w:pPr>
            <w:pStyle w:val="26"/>
            <w:tabs>
              <w:tab w:val="right" w:leader="dot" w:pos="9412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_Toc5329 </w:instrText>
          </w:r>
          <w:r>
            <w:fldChar w:fldCharType="separate"/>
          </w:r>
          <w:r>
            <w:rPr>
              <w:rFonts w:ascii="微软雅黑" w:hAnsi="微软雅黑" w:eastAsia="微软雅黑"/>
              <w:i w:val="0"/>
            </w:rPr>
            <w:t>一、复现概述与范围</w:t>
          </w:r>
          <w:r>
            <w:tab/>
          </w:r>
          <w:r>
            <w:fldChar w:fldCharType="begin"/>
          </w:r>
          <w:r>
            <w:instrText xml:space="preserve"> PAGEREF _Toc5329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FA380BE">
          <w:pPr>
            <w:pStyle w:val="26"/>
            <w:tabs>
              <w:tab w:val="right" w:leader="dot" w:pos="9412"/>
            </w:tabs>
          </w:pPr>
          <w:r>
            <w:fldChar w:fldCharType="begin"/>
          </w:r>
          <w:r>
            <w:instrText xml:space="preserve"> HYPERLINK \l _Toc15929 </w:instrText>
          </w:r>
          <w:r>
            <w:fldChar w:fldCharType="separate"/>
          </w:r>
          <w:r>
            <w:rPr>
              <w:rFonts w:ascii="微软雅黑" w:hAnsi="微软雅黑" w:eastAsia="微软雅黑"/>
              <w:i w:val="0"/>
            </w:rPr>
            <w:t>二、数据与方法</w:t>
          </w:r>
          <w:r>
            <w:tab/>
          </w:r>
          <w:r>
            <w:fldChar w:fldCharType="begin"/>
          </w:r>
          <w:r>
            <w:instrText xml:space="preserve"> PAGEREF _Toc15929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D6606BB">
          <w:pPr>
            <w:pStyle w:val="26"/>
            <w:tabs>
              <w:tab w:val="right" w:leader="dot" w:pos="9412"/>
            </w:tabs>
          </w:pPr>
          <w:r>
            <w:fldChar w:fldCharType="begin"/>
          </w:r>
          <w:r>
            <w:instrText xml:space="preserve"> HYPERLINK \l _Toc17703 </w:instrText>
          </w:r>
          <w:r>
            <w:fldChar w:fldCharType="separate"/>
          </w:r>
          <w:r>
            <w:rPr>
              <w:rFonts w:ascii="微软雅黑" w:hAnsi="微软雅黑" w:eastAsia="微软雅黑"/>
              <w:i w:val="0"/>
            </w:rPr>
            <w:t>三、复现结果</w:t>
          </w:r>
          <w:r>
            <w:tab/>
          </w:r>
          <w:r>
            <w:fldChar w:fldCharType="begin"/>
          </w:r>
          <w:r>
            <w:instrText xml:space="preserve"> PAGEREF _Toc17703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8CCC8B7">
          <w:pPr>
            <w:pStyle w:val="26"/>
            <w:tabs>
              <w:tab w:val="right" w:leader="dot" w:pos="9412"/>
            </w:tabs>
          </w:pPr>
          <w:r>
            <w:fldChar w:fldCharType="begin"/>
          </w:r>
          <w:r>
            <w:instrText xml:space="preserve"> HYPERLINK \l _Toc30168 </w:instrText>
          </w:r>
          <w:r>
            <w:fldChar w:fldCharType="separate"/>
          </w:r>
          <w:r>
            <w:rPr>
              <w:rFonts w:ascii="微软雅黑" w:hAnsi="微软雅黑" w:eastAsia="微软雅黑"/>
              <w:i w:val="0"/>
            </w:rPr>
            <w:t>四、关键核查发现</w:t>
          </w:r>
          <w:r>
            <w:tab/>
          </w:r>
          <w:r>
            <w:fldChar w:fldCharType="begin"/>
          </w:r>
          <w:r>
            <w:instrText xml:space="preserve"> PAGEREF _Toc30168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E7F7AEC">
          <w:pPr>
            <w:pStyle w:val="26"/>
            <w:tabs>
              <w:tab w:val="right" w:leader="dot" w:pos="9412"/>
            </w:tabs>
          </w:pPr>
          <w:r>
            <w:fldChar w:fldCharType="begin"/>
          </w:r>
          <w:r>
            <w:instrText xml:space="preserve"> HYPERLINK \l _Toc26245 </w:instrText>
          </w:r>
          <w:r>
            <w:fldChar w:fldCharType="separate"/>
          </w:r>
          <w:r>
            <w:rPr>
              <w:rFonts w:ascii="微软雅黑" w:hAnsi="微软雅黑" w:eastAsia="微软雅黑"/>
              <w:i w:val="0"/>
            </w:rPr>
            <w:t>五、产出文件与代码位置</w:t>
          </w:r>
          <w:r>
            <w:tab/>
          </w:r>
          <w:r>
            <w:fldChar w:fldCharType="begin"/>
          </w:r>
          <w:r>
            <w:instrText xml:space="preserve"> PAGEREF _Toc26245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F02190D">
          <w:pPr>
            <w:pStyle w:val="26"/>
            <w:tabs>
              <w:tab w:val="right" w:leader="dot" w:pos="9412"/>
            </w:tabs>
          </w:pPr>
          <w:r>
            <w:fldChar w:fldCharType="begin"/>
          </w:r>
          <w:r>
            <w:instrText xml:space="preserve"> HYPERLINK \l _Toc21169 </w:instrText>
          </w:r>
          <w:r>
            <w:fldChar w:fldCharType="separate"/>
          </w:r>
          <w:r>
            <w:rPr>
              <w:rFonts w:ascii="微软雅黑" w:hAnsi="微软雅黑" w:eastAsia="微软雅黑"/>
              <w:i w:val="0"/>
            </w:rPr>
            <w:t>六、边界、局限与诚实性声明</w:t>
          </w:r>
          <w:r>
            <w:tab/>
          </w:r>
          <w:r>
            <w:fldChar w:fldCharType="begin"/>
          </w:r>
          <w:r>
            <w:instrText xml:space="preserve"> PAGEREF _Toc21169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4FD33E3">
          <w:r>
            <w:fldChar w:fldCharType="end"/>
          </w:r>
        </w:p>
      </w:sdtContent>
    </w:sdt>
    <w:p w14:paraId="3E8F3B32"/>
    <w:p w14:paraId="6306109C"/>
    <w:p w14:paraId="2D234A93">
      <w:pPr>
        <w:spacing w:before="80" w:after="240" w:line="324" w:lineRule="auto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  <w:t>4.6.1</w:t>
      </w:r>
    </w:p>
    <w:p w14:paraId="033C0BA6">
      <w:pPr>
        <w:pStyle w:val="3"/>
        <w:spacing w:before="280" w:after="120"/>
      </w:pPr>
      <w:bookmarkStart w:id="0" w:name="_Toc5329"/>
      <w:r>
        <w:rPr>
          <w:rFonts w:ascii="微软雅黑" w:hAnsi="微软雅黑" w:eastAsia="微软雅黑"/>
          <w:b/>
          <w:i w:val="0"/>
          <w:color w:val="1F3864"/>
          <w:sz w:val="32"/>
        </w:rPr>
        <w:t>一、复现概述与范围</w:t>
      </w:r>
      <w:bookmarkEnd w:id="0"/>
    </w:p>
    <w:p w14:paraId="4184AC01">
      <w:pPr>
        <w:spacing w:before="8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本报告汇总两个交接包的全部复现与核查工作：①胫骨前肌（TA 肌肉）RNA-seq 全流程复现与 Fig.4 系列图；②肝脏转录组 Fig.1i / Fig.1j 的建模后绘图与最终报告图制作。两个项目的数据来源、处理起点与方法边界不同，报告中分别说明，不做组织间混用。</w:t>
      </w:r>
    </w:p>
    <w:p w14:paraId="208462CC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5496"/>
          <w:sz w:val="26"/>
        </w:rPr>
        <w:t>1.1 复现目标</w:t>
      </w:r>
    </w:p>
    <w:p w14:paraId="2334A9AE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i w:val="0"/>
          <w:sz w:val="21"/>
        </w:rPr>
        <w:t>肌肉项目：从 ENA 原始 FASTQ 出发，用替代工具链完成质控、比对、定量与 DESeq2 差异分析，并复现 Fig.4b、Fig.4c、Fig.4i。</w:t>
      </w:r>
    </w:p>
    <w:p w14:paraId="08F86B9B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i w:val="0"/>
          <w:sz w:val="21"/>
        </w:rPr>
        <w:t>肝脏项目：从作者公开计数矩阵出发，完成矩阵质控、DESeq2 建模、PCA 与样本距离计算，并制作 Fig.1i / Fig.1j 的报告用最终图。</w:t>
      </w:r>
    </w:p>
    <w:p w14:paraId="2A1DABB8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i w:val="0"/>
          <w:sz w:val="21"/>
        </w:rPr>
        <w:t>核查任务（肌肉交接包待办）：作者表达表变换方式鉴定、作者表与本次矩阵的基因/样本对应、Fig.4c 未能复现的原因排查。</w:t>
      </w:r>
    </w:p>
    <w:p w14:paraId="08895E5C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5496"/>
          <w:sz w:val="26"/>
        </w:rPr>
        <w:t>1.2 总体结论一览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2"/>
        <w:gridCol w:w="1773"/>
        <w:gridCol w:w="5456"/>
      </w:tblGrid>
      <w:tr w14:paraId="27901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2" w:type="dxa"/>
            <w:shd w:val="clear" w:color="auto" w:fill="DCE6F1"/>
          </w:tcPr>
          <w:p w14:paraId="480DCD5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图件</w:t>
            </w:r>
          </w:p>
        </w:tc>
        <w:tc>
          <w:tcPr>
            <w:tcW w:w="1773" w:type="dxa"/>
            <w:shd w:val="clear" w:color="auto" w:fill="DCE6F1"/>
          </w:tcPr>
          <w:p w14:paraId="6104C0E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复现状态</w:t>
            </w:r>
          </w:p>
        </w:tc>
        <w:tc>
          <w:tcPr>
            <w:tcW w:w="5456" w:type="dxa"/>
            <w:shd w:val="clear" w:color="auto" w:fill="DCE6F1"/>
          </w:tcPr>
          <w:p w14:paraId="456A492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说明</w:t>
            </w:r>
          </w:p>
        </w:tc>
      </w:tr>
      <w:tr w14:paraId="44226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2" w:type="dxa"/>
          </w:tcPr>
          <w:p w14:paraId="5DE180F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Fig.1i（肝脏 PCA）</w:t>
            </w:r>
          </w:p>
        </w:tc>
        <w:tc>
          <w:tcPr>
            <w:tcW w:w="1773" w:type="dxa"/>
          </w:tcPr>
          <w:p w14:paraId="619E6CE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已复现</w:t>
            </w:r>
          </w:p>
        </w:tc>
        <w:tc>
          <w:tcPr>
            <w:tcW w:w="5456" w:type="dxa"/>
          </w:tcPr>
          <w:p w14:paraId="426747D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rlog 与 VST 两版；解释率使用真实计算值，未改成论文标签</w:t>
            </w:r>
          </w:p>
        </w:tc>
      </w:tr>
      <w:tr w14:paraId="5CB64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2" w:type="dxa"/>
          </w:tcPr>
          <w:p w14:paraId="72F0672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Fig.1j（肝脏样本距离）</w:t>
            </w:r>
          </w:p>
        </w:tc>
        <w:tc>
          <w:tcPr>
            <w:tcW w:w="1773" w:type="dxa"/>
          </w:tcPr>
          <w:p w14:paraId="13CBA9B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已复现</w:t>
            </w:r>
          </w:p>
        </w:tc>
        <w:tc>
          <w:tcPr>
            <w:tcW w:w="5456" w:type="dxa"/>
          </w:tcPr>
          <w:p w14:paraId="3EDBBCD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raw-count Poisson 距离；叶序与原图 18/18 一致</w:t>
            </w:r>
          </w:p>
        </w:tc>
      </w:tr>
      <w:tr w14:paraId="703F6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2" w:type="dxa"/>
          </w:tcPr>
          <w:p w14:paraId="442FA02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Fig.4b（肌肉样本距离）</w:t>
            </w:r>
          </w:p>
        </w:tc>
        <w:tc>
          <w:tcPr>
            <w:tcW w:w="1773" w:type="dxa"/>
          </w:tcPr>
          <w:p w14:paraId="1F8B19E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已复现</w:t>
            </w:r>
          </w:p>
        </w:tc>
        <w:tc>
          <w:tcPr>
            <w:tcW w:w="5456" w:type="dxa"/>
          </w:tcPr>
          <w:p w14:paraId="787147F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Poisson 距离聚类；聚类存在组间混合</w:t>
            </w:r>
          </w:p>
        </w:tc>
      </w:tr>
      <w:tr w14:paraId="02C57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2" w:type="dxa"/>
          </w:tcPr>
          <w:p w14:paraId="148DC05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Fig.4c（肌肉 GO 富集）</w:t>
            </w:r>
          </w:p>
        </w:tc>
        <w:tc>
          <w:tcPr>
            <w:tcW w:w="1773" w:type="dxa"/>
          </w:tcPr>
          <w:p w14:paraId="4A16621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不可复现</w:t>
            </w:r>
          </w:p>
        </w:tc>
        <w:tc>
          <w:tcPr>
            <w:tcW w:w="5456" w:type="dxa"/>
          </w:tcPr>
          <w:p w14:paraId="0705D90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按论文方法无法复现 cAMP/PKA 信号，机制已定位</w:t>
            </w:r>
          </w:p>
        </w:tc>
      </w:tr>
      <w:tr w14:paraId="35AE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2" w:type="dxa"/>
          </w:tcPr>
          <w:p w14:paraId="3FAD4CD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Fig.4i（钙依赖呼吸）</w:t>
            </w:r>
          </w:p>
        </w:tc>
        <w:tc>
          <w:tcPr>
            <w:tcW w:w="1773" w:type="dxa"/>
          </w:tcPr>
          <w:p w14:paraId="3D40933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已复现</w:t>
            </w:r>
          </w:p>
        </w:tc>
        <w:tc>
          <w:tcPr>
            <w:tcW w:w="5456" w:type="dxa"/>
          </w:tcPr>
          <w:p w14:paraId="68829EE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双侧 Student 检验 P=0.0081，与论文一致</w:t>
            </w:r>
          </w:p>
        </w:tc>
      </w:tr>
      <w:tr w14:paraId="72EEA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2" w:type="dxa"/>
          </w:tcPr>
          <w:p w14:paraId="3C1160C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Fig.2d（能量消耗）</w:t>
            </w:r>
          </w:p>
        </w:tc>
        <w:tc>
          <w:tcPr>
            <w:tcW w:w="1773" w:type="dxa"/>
          </w:tcPr>
          <w:p w14:paraId="6B97C4D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既有产出</w:t>
            </w:r>
          </w:p>
        </w:tc>
        <w:tc>
          <w:tcPr>
            <w:tcW w:w="5456" w:type="dxa"/>
          </w:tcPr>
          <w:p w14:paraId="721506B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使用论文 Source Data 复现，非本次待办任务</w:t>
            </w:r>
          </w:p>
        </w:tc>
      </w:tr>
      <w:tr w14:paraId="0A81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2" w:type="dxa"/>
          </w:tcPr>
          <w:p w14:paraId="7D02963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Fig.2e / Fig.2k</w:t>
            </w:r>
          </w:p>
        </w:tc>
        <w:tc>
          <w:tcPr>
            <w:tcW w:w="1773" w:type="dxa"/>
          </w:tcPr>
          <w:p w14:paraId="29B7F18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未复现 / 探索性</w:t>
            </w:r>
          </w:p>
        </w:tc>
        <w:tc>
          <w:tcPr>
            <w:tcW w:w="5456" w:type="dxa"/>
          </w:tcPr>
          <w:p w14:paraId="2C990FB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缺配对体重数据；配对关系未证实</w:t>
            </w:r>
          </w:p>
        </w:tc>
      </w:tr>
    </w:tbl>
    <w:p w14:paraId="10C9E190">
      <w:pPr>
        <w:spacing w:after="40"/>
      </w:pPr>
    </w:p>
    <w:p w14:paraId="50C6AA4C">
      <w:r>
        <w:br w:type="page"/>
      </w:r>
    </w:p>
    <w:p w14:paraId="51FFD426">
      <w:pPr>
        <w:pStyle w:val="3"/>
        <w:spacing w:before="280" w:after="120"/>
      </w:pPr>
      <w:bookmarkStart w:id="1" w:name="_Toc15929"/>
      <w:r>
        <w:rPr>
          <w:rFonts w:ascii="微软雅黑" w:hAnsi="微软雅黑" w:eastAsia="微软雅黑"/>
          <w:b/>
          <w:i w:val="0"/>
          <w:color w:val="1F3864"/>
          <w:sz w:val="32"/>
        </w:rPr>
        <w:t>二、数据与方法</w:t>
      </w:r>
      <w:bookmarkEnd w:id="1"/>
    </w:p>
    <w:p w14:paraId="1860D153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5496"/>
          <w:sz w:val="26"/>
        </w:rPr>
        <w:t>2.1 肌肉（胫骨前肌）RNA-seq：从 FASTQ 开始的全流程</w:t>
      </w:r>
    </w:p>
    <w:p w14:paraId="6DB10315">
      <w:pPr>
        <w:spacing w:before="8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数据集 GSE229794 / PRJNA955831：Vehicle 5 个、GDF15 6 个、Pair-fed 5 个，共 16 样本、32 个双端 FASTQ，每端 51 bp。用户选定 Windows 原生方案：ShortRead → Cutadapt → Rsubread → featureCounts → DESeq2 → R 作图，属于方法替代复现。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3868"/>
        <w:gridCol w:w="3868"/>
      </w:tblGrid>
      <w:tr w14:paraId="31074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shd w:val="clear" w:color="auto" w:fill="DCE6F1"/>
          </w:tcPr>
          <w:p w14:paraId="03A36F4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步骤</w:t>
            </w:r>
          </w:p>
        </w:tc>
        <w:tc>
          <w:tcPr>
            <w:tcW w:w="3868" w:type="dxa"/>
            <w:shd w:val="clear" w:color="auto" w:fill="DCE6F1"/>
          </w:tcPr>
          <w:p w14:paraId="779DA42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方法与核查</w:t>
            </w:r>
          </w:p>
        </w:tc>
        <w:tc>
          <w:tcPr>
            <w:tcW w:w="3868" w:type="dxa"/>
            <w:shd w:val="clear" w:color="auto" w:fill="DCE6F1"/>
          </w:tcPr>
          <w:p w14:paraId="2C435BE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实际结果</w:t>
            </w:r>
          </w:p>
        </w:tc>
      </w:tr>
      <w:tr w14:paraId="1BBDD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</w:tcPr>
          <w:p w14:paraId="1D4ABE4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下载</w:t>
            </w:r>
          </w:p>
        </w:tc>
        <w:tc>
          <w:tcPr>
            <w:tcW w:w="3868" w:type="dxa"/>
          </w:tcPr>
          <w:p w14:paraId="63F4B21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ENA 大小与 MD5 校验</w:t>
            </w:r>
          </w:p>
        </w:tc>
        <w:tc>
          <w:tcPr>
            <w:tcW w:w="3868" w:type="dxa"/>
          </w:tcPr>
          <w:p w14:paraId="422834B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32/32 通过；18.281 GB，295,672,731 对读段</w:t>
            </w:r>
          </w:p>
        </w:tc>
      </w:tr>
      <w:tr w14:paraId="6F125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</w:tcPr>
          <w:p w14:paraId="424E7DB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原始质控</w:t>
            </w:r>
          </w:p>
        </w:tc>
        <w:tc>
          <w:tcPr>
            <w:tcW w:w="3868" w:type="dxa"/>
          </w:tcPr>
          <w:p w14:paraId="5BFAEAC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ShortRead 全量数量/配对 ID 检查；0.5% 质量抽样（种子 955831）</w:t>
            </w:r>
          </w:p>
        </w:tc>
        <w:tc>
          <w:tcPr>
            <w:tcW w:w="3868" w:type="dxa"/>
          </w:tcPr>
          <w:p w14:paraId="468FD28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数量一致、ID 错配 0；Q30 93.60%–94.86%</w:t>
            </w:r>
          </w:p>
        </w:tc>
      </w:tr>
      <w:tr w14:paraId="62E54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</w:tcPr>
          <w:p w14:paraId="448FDA5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接头与质量清理</w:t>
            </w:r>
          </w:p>
        </w:tc>
        <w:tc>
          <w:tcPr>
            <w:tcW w:w="3868" w:type="dxa"/>
          </w:tcPr>
          <w:p w14:paraId="7BE02CC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Cutadapt 4：双端接头，q20、最短 20 bp</w:t>
            </w:r>
          </w:p>
        </w:tc>
        <w:tc>
          <w:tcPr>
            <w:tcW w:w="3868" w:type="dxa"/>
          </w:tcPr>
          <w:p w14:paraId="681D1F0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保留 294,455,592 对（99.588%）</w:t>
            </w:r>
          </w:p>
        </w:tc>
      </w:tr>
      <w:tr w14:paraId="5E4FA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</w:tcPr>
          <w:p w14:paraId="2C76E44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清理后质控</w:t>
            </w:r>
          </w:p>
        </w:tc>
        <w:tc>
          <w:tcPr>
            <w:tcW w:w="3868" w:type="dxa"/>
          </w:tcPr>
          <w:p w14:paraId="03EAD09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每端抽样 100,000 条核对修剪 JSON</w:t>
            </w:r>
          </w:p>
        </w:tc>
        <w:tc>
          <w:tcPr>
            <w:tcW w:w="3868" w:type="dxa"/>
          </w:tcPr>
          <w:p w14:paraId="2C3A935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32 文件通过；Q30 93.98%–95.00%</w:t>
            </w:r>
          </w:p>
        </w:tc>
      </w:tr>
      <w:tr w14:paraId="766B5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</w:tcPr>
          <w:p w14:paraId="461E70E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比对</w:t>
            </w:r>
          </w:p>
        </w:tc>
        <w:tc>
          <w:tcPr>
            <w:tcW w:w="3868" w:type="dxa"/>
          </w:tcPr>
          <w:p w14:paraId="3142F19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mm10/GRCm38 + GENCODE M25；Rsubread 2.26.0，unique=TRUE</w:t>
            </w:r>
          </w:p>
        </w:tc>
        <w:tc>
          <w:tcPr>
            <w:tcW w:w="3868" w:type="dxa"/>
          </w:tcPr>
          <w:p w14:paraId="3BD4BAC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唯一比对 257,859,622 对（87.57%）</w:t>
            </w:r>
          </w:p>
        </w:tc>
      </w:tr>
      <w:tr w14:paraId="1EFBD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</w:tcPr>
          <w:p w14:paraId="6495146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基因计数</w:t>
            </w:r>
          </w:p>
        </w:tc>
        <w:tc>
          <w:tcPr>
            <w:tcW w:w="3868" w:type="dxa"/>
          </w:tcPr>
          <w:p w14:paraId="5D662E5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featureCounts 反向链 s=2，要求双端比对</w:t>
            </w:r>
          </w:p>
        </w:tc>
        <w:tc>
          <w:tcPr>
            <w:tcW w:w="3868" w:type="dxa"/>
          </w:tcPr>
          <w:p w14:paraId="2ED8763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分配 241,070,087 对（81.87%）</w:t>
            </w:r>
          </w:p>
        </w:tc>
      </w:tr>
      <w:tr w14:paraId="00B66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</w:tcPr>
          <w:p w14:paraId="60D520B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差异分析</w:t>
            </w:r>
          </w:p>
        </w:tc>
        <w:tc>
          <w:tcPr>
            <w:tcW w:w="3868" w:type="dxa"/>
          </w:tcPr>
          <w:p w14:paraId="289BD0C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DESeq2 ~condition；总计数≥5；|log2FC|&gt;0.6、BH padj&lt;0.1</w:t>
            </w:r>
          </w:p>
        </w:tc>
        <w:tc>
          <w:tcPr>
            <w:tcW w:w="3868" w:type="dxa"/>
          </w:tcPr>
          <w:p w14:paraId="2331C75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22,032 基因；DEG：35 / 39 / 78（GDF15 vs Pair-fed、vs Vehicle、Pair-fed vs Vehicle）</w:t>
            </w:r>
          </w:p>
        </w:tc>
      </w:tr>
    </w:tbl>
    <w:p w14:paraId="5812997C">
      <w:pPr>
        <w:spacing w:after="40"/>
      </w:pPr>
    </w:p>
    <w:p w14:paraId="0636735F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5496"/>
          <w:sz w:val="26"/>
        </w:rPr>
        <w:t>2.2 肝脏转录组：从作者计数矩阵开始</w:t>
      </w:r>
    </w:p>
    <w:p w14:paraId="1E16923B">
      <w:pPr>
        <w:spacing w:before="8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数据集 GSE229708：作者公开的 Counts4allSamples.csv.gz（507,141 字节），16,245 基因 × 18 样本；Vehicle、GDF15、PairFed 各 6 个，对应 GSM7173713–GSM7173730。本轮未下载肝脏 FASTQ、未做测序质控与比对，起点即为作者处理后的计数矩阵。</w:t>
      </w:r>
    </w:p>
    <w:p w14:paraId="479C5214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i w:val="0"/>
          <w:sz w:val="21"/>
        </w:rPr>
        <w:t>过滤：沿用作者代码的总计数≥5；16,245 个基因全部保留，剔除 0 个。</w:t>
      </w:r>
    </w:p>
    <w:p w14:paraId="2F34CB47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i w:val="0"/>
          <w:sz w:val="21"/>
        </w:rPr>
        <w:t>模型：DESeq2，design ~ condition，Vehicle 为参照；未获得作者 Salmon/tximport 的长度偏移量，故为直接计数模型。</w:t>
      </w:r>
    </w:p>
    <w:p w14:paraId="799B47EC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i w:val="0"/>
          <w:sz w:val="21"/>
        </w:rPr>
        <w:t>变换：VST 与 rlog 各执行一遍（blind=FALSE），两条路线并列保存。</w:t>
      </w:r>
    </w:p>
    <w:p w14:paraId="11DAFD9B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i w:val="0"/>
          <w:sz w:val="21"/>
        </w:rPr>
        <w:t>PCA：每种变换独立选取变异最高 500 基因，prcomp 中心化、不缩放，展示 PC1/PC4。</w:t>
      </w:r>
    </w:p>
    <w:p w14:paraId="7915C3AF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i w:val="0"/>
          <w:sz w:val="21"/>
        </w:rPr>
        <w:t>样本距离：VST 欧氏、rlog 欧氏、原始计数 Poisson 三种，均用 complete linkage。</w:t>
      </w:r>
    </w:p>
    <w:p w14:paraId="7666B2C8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5496"/>
          <w:sz w:val="26"/>
        </w:rPr>
        <w:t>2.3 关键方法差异（必读）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4"/>
        <w:gridCol w:w="3739"/>
        <w:gridCol w:w="3739"/>
      </w:tblGrid>
      <w:tr w14:paraId="45D79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4" w:type="dxa"/>
            <w:shd w:val="clear" w:color="auto" w:fill="DCE6F1"/>
          </w:tcPr>
          <w:p w14:paraId="3C9CF9E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环节</w:t>
            </w:r>
          </w:p>
        </w:tc>
        <w:tc>
          <w:tcPr>
            <w:tcW w:w="3739" w:type="dxa"/>
            <w:shd w:val="clear" w:color="auto" w:fill="DCE6F1"/>
          </w:tcPr>
          <w:p w14:paraId="75B9EF7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论文 / 作者</w:t>
            </w:r>
          </w:p>
        </w:tc>
        <w:tc>
          <w:tcPr>
            <w:tcW w:w="3739" w:type="dxa"/>
            <w:shd w:val="clear" w:color="auto" w:fill="DCE6F1"/>
          </w:tcPr>
          <w:p w14:paraId="2670DF9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本次复现</w:t>
            </w:r>
          </w:p>
        </w:tc>
      </w:tr>
      <w:tr w14:paraId="653A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4" w:type="dxa"/>
          </w:tcPr>
          <w:p w14:paraId="7614758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接头与质量处理</w:t>
            </w:r>
          </w:p>
        </w:tc>
        <w:tc>
          <w:tcPr>
            <w:tcW w:w="3739" w:type="dxa"/>
          </w:tcPr>
          <w:p w14:paraId="045CA69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Trim Galore</w:t>
            </w:r>
          </w:p>
        </w:tc>
        <w:tc>
          <w:tcPr>
            <w:tcW w:w="3739" w:type="dxa"/>
          </w:tcPr>
          <w:p w14:paraId="650126E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Cutadapt 4（q20，最短 20 bp）</w:t>
            </w:r>
          </w:p>
        </w:tc>
      </w:tr>
      <w:tr w14:paraId="35D26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4" w:type="dxa"/>
          </w:tcPr>
          <w:p w14:paraId="241A873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转录本定量</w:t>
            </w:r>
          </w:p>
        </w:tc>
        <w:tc>
          <w:tcPr>
            <w:tcW w:w="3739" w:type="dxa"/>
          </w:tcPr>
          <w:p w14:paraId="25DF759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Salmon + tximport</w:t>
            </w:r>
          </w:p>
        </w:tc>
        <w:tc>
          <w:tcPr>
            <w:tcW w:w="3739" w:type="dxa"/>
          </w:tcPr>
          <w:p w14:paraId="6ED64DD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Rsubread / featureCounts（unique=TRUE）</w:t>
            </w:r>
          </w:p>
        </w:tc>
      </w:tr>
      <w:tr w14:paraId="798E8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34" w:type="dxa"/>
          </w:tcPr>
          <w:p w14:paraId="07BAFB8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基因注释</w:t>
            </w:r>
          </w:p>
        </w:tc>
        <w:tc>
          <w:tcPr>
            <w:tcW w:w="3739" w:type="dxa"/>
          </w:tcPr>
          <w:p w14:paraId="1599823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UCSC knownGene</w:t>
            </w:r>
          </w:p>
        </w:tc>
        <w:tc>
          <w:tcPr>
            <w:tcW w:w="3739" w:type="dxa"/>
          </w:tcPr>
          <w:p w14:paraId="627870A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GENCODE M25</w:t>
            </w:r>
          </w:p>
        </w:tc>
      </w:tr>
      <w:tr w14:paraId="6D0CB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34" w:type="dxa"/>
          </w:tcPr>
          <w:p w14:paraId="71F8B5B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长度偏移量</w:t>
            </w:r>
          </w:p>
        </w:tc>
        <w:tc>
          <w:tcPr>
            <w:tcW w:w="3739" w:type="dxa"/>
          </w:tcPr>
          <w:p w14:paraId="793AC28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有 tximport 偏移</w:t>
            </w:r>
          </w:p>
        </w:tc>
        <w:tc>
          <w:tcPr>
            <w:tcW w:w="3739" w:type="dxa"/>
          </w:tcPr>
          <w:p w14:paraId="4C4240D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无（直接计数模型）</w:t>
            </w:r>
          </w:p>
        </w:tc>
      </w:tr>
      <w:tr w14:paraId="25781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4" w:type="dxa"/>
          </w:tcPr>
          <w:p w14:paraId="05EFF8E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多重比对策略</w:t>
            </w:r>
          </w:p>
        </w:tc>
        <w:tc>
          <w:tcPr>
            <w:tcW w:w="3739" w:type="dxa"/>
          </w:tcPr>
          <w:p w14:paraId="4573005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作者策略未完全公开</w:t>
            </w:r>
          </w:p>
        </w:tc>
        <w:tc>
          <w:tcPr>
            <w:tcW w:w="3739" w:type="dxa"/>
          </w:tcPr>
          <w:p w14:paraId="7B9725B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统一 unique=TRUE 重做</w:t>
            </w:r>
          </w:p>
        </w:tc>
      </w:tr>
      <w:tr w14:paraId="370AE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4" w:type="dxa"/>
          </w:tcPr>
          <w:p w14:paraId="424D3E4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PCA 变换</w:t>
            </w:r>
          </w:p>
        </w:tc>
        <w:tc>
          <w:tcPr>
            <w:tcW w:w="3739" w:type="dxa"/>
          </w:tcPr>
          <w:p w14:paraId="015AA46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图注写 VST，代码用 rlog</w:t>
            </w:r>
          </w:p>
        </w:tc>
        <w:tc>
          <w:tcPr>
            <w:tcW w:w="3739" w:type="dxa"/>
          </w:tcPr>
          <w:p w14:paraId="777040A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两版都计算并并列提供</w:t>
            </w:r>
          </w:p>
        </w:tc>
      </w:tr>
      <w:tr w14:paraId="41F4D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4" w:type="dxa"/>
          </w:tcPr>
          <w:p w14:paraId="5019D8D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肝脏数据起点</w:t>
            </w:r>
          </w:p>
        </w:tc>
        <w:tc>
          <w:tcPr>
            <w:tcW w:w="3739" w:type="dxa"/>
          </w:tcPr>
          <w:p w14:paraId="65215BF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作者计数矩阵</w:t>
            </w:r>
          </w:p>
        </w:tc>
        <w:tc>
          <w:tcPr>
            <w:tcW w:w="3739" w:type="dxa"/>
          </w:tcPr>
          <w:p w14:paraId="02B89CA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同上，未做 FASTQ 流程</w:t>
            </w:r>
          </w:p>
        </w:tc>
      </w:tr>
      <w:tr w14:paraId="6FC81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4" w:type="dxa"/>
          </w:tcPr>
          <w:p w14:paraId="4EBAF51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富集工具与参数</w:t>
            </w:r>
          </w:p>
        </w:tc>
        <w:tc>
          <w:tcPr>
            <w:tcW w:w="3739" w:type="dxa"/>
          </w:tcPr>
          <w:p w14:paraId="3FC1FE0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GOstats（参数未完整公开）</w:t>
            </w:r>
          </w:p>
        </w:tc>
        <w:tc>
          <w:tcPr>
            <w:tcW w:w="3739" w:type="dxa"/>
          </w:tcPr>
          <w:p w14:paraId="36917CC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GOstats 2.78.0，参考作者公开的 clusterProfiler 参数</w:t>
            </w:r>
          </w:p>
        </w:tc>
      </w:tr>
    </w:tbl>
    <w:p w14:paraId="7FCD2126">
      <w:pPr>
        <w:spacing w:after="40"/>
      </w:pPr>
    </w:p>
    <w:p w14:paraId="0F162037">
      <w:r>
        <w:br w:type="page"/>
      </w:r>
    </w:p>
    <w:p w14:paraId="09ADC254">
      <w:pPr>
        <w:pStyle w:val="3"/>
        <w:spacing w:before="280" w:after="120"/>
      </w:pPr>
      <w:bookmarkStart w:id="2" w:name="_Toc17703"/>
      <w:r>
        <w:rPr>
          <w:rFonts w:ascii="微软雅黑" w:hAnsi="微软雅黑" w:eastAsia="微软雅黑"/>
          <w:b/>
          <w:i w:val="0"/>
          <w:color w:val="1F3864"/>
          <w:sz w:val="32"/>
        </w:rPr>
        <w:t>三、复现结果</w:t>
      </w:r>
      <w:bookmarkEnd w:id="2"/>
    </w:p>
    <w:p w14:paraId="1964E6E8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5496"/>
          <w:sz w:val="26"/>
        </w:rPr>
        <w:t>3.1 Fig.1i：肝脏 PCA（PC1 vs PC4）</w:t>
      </w:r>
    </w:p>
    <w:p w14:paraId="27113085">
      <w:pPr>
        <w:spacing w:before="8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模型：DESeq2 变换后取变异最高 500 基因，中心化 PCA。真实解释率为 rlog PC1=56.18% / PC4=5.10%，VST PC1=56.34% / PC4=4.98%；论文原图标签为 55.38% / 5.08%。本次坐标轴标注使用真实计算值，未改成论文数值。图中椭圆为 ggplot2 的 95% t 型数据椭圆，仅作组分布示意，不是组间显著性证据。</w:t>
      </w:r>
    </w:p>
    <w:p w14:paraId="7ED5BBC6">
      <w:pPr>
        <w:spacing w:before="160" w:after="40"/>
        <w:jc w:val="center"/>
      </w:pPr>
      <w:r>
        <w:drawing>
          <wp:inline distT="0" distB="0" distL="114300" distR="114300">
            <wp:extent cx="3959860" cy="3299460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E37C">
      <w:pPr>
        <w:spacing w:before="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444444"/>
          <w:sz w:val="18"/>
        </w:rPr>
        <w:t>图 1　Fig.1i 复现（rlog 变换，作者 PCA 代码所用方法）：PC1 56.18%、PC4 5.10%</w:t>
      </w:r>
    </w:p>
    <w:p w14:paraId="7E67CE09">
      <w:pPr>
        <w:spacing w:before="160" w:after="40"/>
        <w:jc w:val="center"/>
      </w:pPr>
      <w:r>
        <w:drawing>
          <wp:inline distT="0" distB="0" distL="114300" distR="114300">
            <wp:extent cx="3959860" cy="3299460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949A">
      <w:pPr>
        <w:spacing w:before="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444444"/>
          <w:sz w:val="18"/>
        </w:rPr>
        <w:t>图 2　Fig.1i 复现（VST 变换，论文图注声明方法）：PC1 56.34%、PC4 4.98%</w:t>
      </w:r>
    </w:p>
    <w:p w14:paraId="328CBBAE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5496"/>
          <w:sz w:val="26"/>
        </w:rPr>
        <w:t>3.2 Fig.1j：肝脏样本距离热图</w:t>
      </w:r>
    </w:p>
    <w:p w14:paraId="17BFEF99">
      <w:pPr>
        <w:spacing w:before="8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采用原始计数 Poisson 距离（complete linkage）。该候选的 18 个样本叶序与原图完全一致（18/18），而 VST 欧氏仅 1/18、rlog 欧氏 13/18（叶序受等价树分支翻转影响，仅作核对信息）。最大距离：VST 欧氏 56.0068、rlog 欧氏 46.1447、原始计数 Poisson 20,778.2880。版式按论文 Fig.1j 调整：极浅灰色网格、底部垂直样本名、色标刻度千分位、色标标题 “Sample distance”。</w:t>
      </w:r>
    </w:p>
    <w:p w14:paraId="2CD699C2">
      <w:pPr>
        <w:spacing w:before="160" w:after="40"/>
        <w:jc w:val="center"/>
      </w:pPr>
      <w:r>
        <w:drawing>
          <wp:inline distT="0" distB="0" distL="114300" distR="114300">
            <wp:extent cx="3779520" cy="3509645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CE0C">
      <w:pPr>
        <w:spacing w:before="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444444"/>
          <w:sz w:val="18"/>
        </w:rPr>
        <w:t>图 3　Fig.1j 复现（raw-count Poisson 距离），叶序与原图 18/18 一致</w:t>
      </w:r>
    </w:p>
    <w:p w14:paraId="293A23BE">
      <w:r>
        <w:br w:type="page"/>
      </w:r>
    </w:p>
    <w:p w14:paraId="3F34C263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5496"/>
          <w:sz w:val="26"/>
        </w:rPr>
        <w:t>3.3 Fig.4b：肌肉样本 Poisson 距离热图</w:t>
      </w:r>
    </w:p>
    <w:p w14:paraId="2835899E">
      <w:pPr>
        <w:spacing w:before="8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已按论文第 6 页面板 b 的格式重绘：RdYlBu 100 色渐变、灰色单元格边框、黑色 45° 样本标签、“Sample distance” 色条、Poisson 距离聚类。聚类结果显示三组未完全干净分开（部分 Pair-fed 与 GDF15 样本混合），这与本次数据的实际结构一致，未为追求分组而删样本或调参。</w:t>
      </w:r>
    </w:p>
    <w:p w14:paraId="5A3FD9F1">
      <w:pPr>
        <w:spacing w:before="160" w:after="40"/>
        <w:jc w:val="center"/>
      </w:pPr>
      <w:r>
        <w:drawing>
          <wp:inline distT="0" distB="0" distL="114300" distR="114300">
            <wp:extent cx="4319905" cy="3053715"/>
            <wp:effectExtent l="0" t="0" r="444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5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2A74">
      <w:pPr>
        <w:spacing w:before="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444444"/>
          <w:sz w:val="18"/>
        </w:rPr>
        <w:t>图 4　Fig.4b 复现（论文样式重绘）：样本 Poisson 距离热图</w:t>
      </w:r>
    </w:p>
    <w:p w14:paraId="7FF0672C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5496"/>
          <w:sz w:val="26"/>
        </w:rPr>
        <w:t>3.4 Fig.4c：肌肉 GO 富集——不可复现，原因已定位</w:t>
      </w:r>
    </w:p>
    <w:p w14:paraId="3A39F0F1">
      <w:pPr>
        <w:spacing w:before="8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论文 Fig.4c 为 GDF15 vs pair-fed 的 GO 注释（BH 校正），正文称富集出 cAMP/PKA 信号；方法节 DEG 阈值为 |log2FC|&gt;0.6、padj&lt;0.1（与本次一致），富集工具为 GOstats。用本次 35 个 DEG 以 GOstats 2.78.0（org.Mm.eg.db 3.23.0）复跑结果如下：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247"/>
        <w:gridCol w:w="1247"/>
        <w:gridCol w:w="1134"/>
        <w:gridCol w:w="2948"/>
      </w:tblGrid>
      <w:tr w14:paraId="380D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  <w:shd w:val="clear" w:color="auto" w:fill="DCE6F1"/>
          </w:tcPr>
          <w:p w14:paraId="10AA894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背景设定</w:t>
            </w:r>
          </w:p>
        </w:tc>
        <w:tc>
          <w:tcPr>
            <w:tcW w:w="1247" w:type="dxa"/>
            <w:shd w:val="clear" w:color="auto" w:fill="DCE6F1"/>
          </w:tcPr>
          <w:p w14:paraId="3259486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BP 条目数</w:t>
            </w:r>
          </w:p>
        </w:tc>
        <w:tc>
          <w:tcPr>
            <w:tcW w:w="1247" w:type="dxa"/>
            <w:shd w:val="clear" w:color="auto" w:fill="DCE6F1"/>
          </w:tcPr>
          <w:p w14:paraId="16C97F9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raw P&lt;0.05</w:t>
            </w:r>
          </w:p>
        </w:tc>
        <w:tc>
          <w:tcPr>
            <w:tcW w:w="1134" w:type="dxa"/>
            <w:shd w:val="clear" w:color="auto" w:fill="DCE6F1"/>
          </w:tcPr>
          <w:p w14:paraId="54F96BF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BH&lt;0.1</w:t>
            </w:r>
          </w:p>
        </w:tc>
        <w:tc>
          <w:tcPr>
            <w:tcW w:w="2948" w:type="dxa"/>
            <w:shd w:val="clear" w:color="auto" w:fill="DCE6F1"/>
          </w:tcPr>
          <w:p w14:paraId="63EA4B5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cAMP/PKA 条目</w:t>
            </w:r>
          </w:p>
        </w:tc>
      </w:tr>
      <w:tr w14:paraId="362E9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A6C665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表达背景（17,722 基因）</w:t>
            </w:r>
          </w:p>
        </w:tc>
        <w:tc>
          <w:tcPr>
            <w:tcW w:w="1247" w:type="dxa"/>
          </w:tcPr>
          <w:p w14:paraId="6D0607B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1,489</w:t>
            </w:r>
          </w:p>
        </w:tc>
        <w:tc>
          <w:tcPr>
            <w:tcW w:w="1247" w:type="dxa"/>
          </w:tcPr>
          <w:p w14:paraId="66D05F3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375</w:t>
            </w:r>
          </w:p>
        </w:tc>
        <w:tc>
          <w:tcPr>
            <w:tcW w:w="1134" w:type="dxa"/>
          </w:tcPr>
          <w:p w14:paraId="79AE05D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</w:t>
            </w:r>
          </w:p>
        </w:tc>
        <w:tc>
          <w:tcPr>
            <w:tcW w:w="2948" w:type="dxa"/>
          </w:tcPr>
          <w:p w14:paraId="45A4D58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无（最好 padj=0.15）</w:t>
            </w:r>
          </w:p>
        </w:tc>
      </w:tr>
      <w:tr w14:paraId="1B2CD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8C203E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全库背景（112,257 基因）</w:t>
            </w:r>
          </w:p>
        </w:tc>
        <w:tc>
          <w:tcPr>
            <w:tcW w:w="1247" w:type="dxa"/>
          </w:tcPr>
          <w:p w14:paraId="3D9E5AB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1,492</w:t>
            </w:r>
          </w:p>
        </w:tc>
        <w:tc>
          <w:tcPr>
            <w:tcW w:w="1247" w:type="dxa"/>
          </w:tcPr>
          <w:p w14:paraId="5E5AE5B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553</w:t>
            </w:r>
          </w:p>
        </w:tc>
        <w:tc>
          <w:tcPr>
            <w:tcW w:w="1134" w:type="dxa"/>
          </w:tcPr>
          <w:p w14:paraId="300069C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280</w:t>
            </w:r>
          </w:p>
        </w:tc>
        <w:tc>
          <w:tcPr>
            <w:tcW w:w="2948" w:type="dxa"/>
          </w:tcPr>
          <w:p w14:paraId="51BE1C4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GO:0140582，padj=0.077，Count=1</w:t>
            </w:r>
          </w:p>
        </w:tc>
      </w:tr>
    </w:tbl>
    <w:p w14:paraId="2F4BF74D">
      <w:pPr>
        <w:spacing w:after="40"/>
      </w:pPr>
    </w:p>
    <w:p w14:paraId="54279E66">
      <w:pPr>
        <w:spacing w:before="8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敏感性分析（明确标注为敏感性分析、非主分析）：仅用 padj&lt;0.1（530 基因，含 Ppargc1a、Atp2a1、Ryr1）且不限 log2FC，配合 GOstats 默认全库背景时，cAMP/PKA 相关条目才转为“显著”（regulation of protein kinase activity padj=0.013、regulation of cAMP/PKA signal transduction padj=0.055、response to cAMP padj=0.066）；同设定下使用表达背景则不显著（padj=0.19–0.29）。全库背景下共有 1,354 个 BP 条目 BH&lt;0.1，属明显的背景膨胀。</w:t>
      </w:r>
    </w:p>
    <w:p w14:paraId="217F3650">
      <w:pPr>
        <w:spacing w:before="8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补充证据：作者公开的 VST 表中，论文点名的 PKA 靶基因在 GDF15−Pair-fed 间差异极小（Ppargc1a +0.17、Sln +0.05、Pln +0.00、Atp2a1 −0.11、Ucp3 −0.12）；本次 DESeq2 中 Ppargc1a（LFC=0.34，padj=0.026）、Atp2a1（LFC=−0.11，padj=0.016）虽 padj 显著，但远达不到 |LFC|&gt;0.6。</w:t>
      </w:r>
    </w:p>
    <w:p w14:paraId="52E15E3B">
      <w:pPr>
        <w:spacing w:before="8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结论：论文的 cAMP/PKA 富集依赖“小效应基因的 padj 显著性 + 全库背景的超几何膨胀”，在论文声明的 DEG 阈值与合理表达背景内不可复现。替代流程下真正稳健的富集信号为糖/核苷酸分解代谢、快肌纤维收缩、肽/细胞因子响应等（表达背景下 BH&lt;0.1 共 324 条 BP），与 Cish、Pfkfb3、Chac1、Nmrk2、Ppp1r3c 等强 DEG 生物学一致。全程未删样本、未放宽阈值以凑原图。</w:t>
      </w:r>
    </w:p>
    <w:p w14:paraId="52847318">
      <w:r>
        <w:br w:type="page"/>
      </w:r>
    </w:p>
    <w:p w14:paraId="520C0B46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5496"/>
          <w:sz w:val="26"/>
        </w:rPr>
        <w:t>3.5 Fig.4i：钙依赖呼吸速率</w:t>
      </w:r>
    </w:p>
    <w:p w14:paraId="745F9769">
      <w:pPr>
        <w:spacing w:before="8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使用论文 Source Data 复现（独立生理数据，非 RNA-seq 矩阵）。Pair-fed vs GDF15，双侧 Student 检验 P=0.0081，与论文一致。图按论文第 6 页面板 i 格式重绘：截断 y 轴（3–6）、红/蓝柱、SEM 误差线、柱上散点、P 值横线括号。</w:t>
      </w:r>
    </w:p>
    <w:p w14:paraId="01FE63A9">
      <w:pPr>
        <w:spacing w:before="160" w:after="40"/>
        <w:jc w:val="center"/>
      </w:pPr>
      <w:r>
        <w:drawing>
          <wp:inline distT="0" distB="0" distL="114300" distR="114300">
            <wp:extent cx="2699385" cy="2939415"/>
            <wp:effectExtent l="0" t="0" r="571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6EB8">
      <w:pPr>
        <w:spacing w:before="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444444"/>
          <w:sz w:val="18"/>
        </w:rPr>
        <w:t>图 5　Fig.4i 复现（论文样式，截断轴）</w:t>
      </w:r>
    </w:p>
    <w:p w14:paraId="392134EA">
      <w:pPr>
        <w:spacing w:before="80" w:after="80" w:line="324" w:lineRule="auto"/>
      </w:pPr>
      <w:r>
        <w:rPr>
          <w:rFonts w:ascii="微软雅黑" w:hAnsi="微软雅黑" w:eastAsia="微软雅黑"/>
          <w:b w:val="0"/>
          <w:i w:val="0"/>
          <w:color w:val="8B0000"/>
          <w:sz w:val="19"/>
        </w:rPr>
        <w:t>诚实性提示：论文原图 y 轴为截断轴（基线=3），会把 3.77 vs 4.75 的均值差在视觉上放大近一倍（完整轴柱高比 1:1.26，截断轴 1:2.3）。课程报告如使用该图，建议注明截断轴，或改用完整轴版本（Fig4i_calcium_respiration_fullaxis_backup.png）。</w:t>
      </w:r>
    </w:p>
    <w:p w14:paraId="77F7F872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5496"/>
          <w:sz w:val="26"/>
        </w:rPr>
        <w:t>3.6 其他图件（既有产出与探索性结果）</w:t>
      </w:r>
    </w:p>
    <w:p w14:paraId="14058F7E">
      <w:pPr>
        <w:spacing w:before="160" w:after="40"/>
        <w:jc w:val="center"/>
      </w:pPr>
      <w:r>
        <w:drawing>
          <wp:inline distT="0" distB="0" distL="114300" distR="114300">
            <wp:extent cx="3959860" cy="3110865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1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1692">
      <w:pPr>
        <w:spacing w:before="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444444"/>
          <w:sz w:val="18"/>
        </w:rPr>
        <w:t>图 6　GDF15 vs Pair-fed 火山图：红点为 35 个 DEG（|LFC|&gt;0.6、padj&lt;0.1）</w:t>
      </w:r>
    </w:p>
    <w:p w14:paraId="7A1761D3">
      <w:pPr>
        <w:spacing w:before="160" w:after="40"/>
        <w:jc w:val="center"/>
      </w:pPr>
      <w:r>
        <w:drawing>
          <wp:inline distT="0" distB="0" distL="114300" distR="114300">
            <wp:extent cx="3959860" cy="29698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89F9">
      <w:pPr>
        <w:spacing w:before="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444444"/>
          <w:sz w:val="18"/>
        </w:rPr>
        <w:t>图 7　肌肉 RNA-seq VST PCA：三组部分重叠，与 Fig.4b 的组间混合一致</w:t>
      </w:r>
    </w:p>
    <w:p w14:paraId="37D69626">
      <w:pPr>
        <w:spacing w:before="160" w:after="40"/>
        <w:jc w:val="center"/>
      </w:pPr>
      <w:r>
        <w:drawing>
          <wp:inline distT="0" distB="0" distL="114300" distR="114300">
            <wp:extent cx="3959860" cy="2419985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F57E">
      <w:pPr>
        <w:spacing w:before="0" w:after="200" w:line="324" w:lineRule="auto"/>
        <w:jc w:val="center"/>
      </w:pPr>
      <w:r>
        <w:rPr>
          <w:rFonts w:ascii="微软雅黑" w:hAnsi="微软雅黑" w:eastAsia="微软雅黑"/>
          <w:b w:val="0"/>
          <w:i/>
          <w:color w:val="444444"/>
          <w:sz w:val="18"/>
        </w:rPr>
        <w:t>图 8　Fig.2d 能量消耗（既有产出，Source Data 复现，非本次待办任务）</w:t>
      </w:r>
    </w:p>
    <w:p w14:paraId="4149864B">
      <w:pPr>
        <w:spacing w:before="8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未复现项：Fig.2e 缺少匹配的动物体重数据；Fig.2k 按表顺序配对未经证实，且 KO 共同斜率检验 P≈0.023，仅保留为探索性附件。</w:t>
      </w:r>
    </w:p>
    <w:p w14:paraId="54EA1C6D">
      <w:r>
        <w:br w:type="page"/>
      </w:r>
    </w:p>
    <w:p w14:paraId="58C51539">
      <w:pPr>
        <w:pStyle w:val="3"/>
        <w:spacing w:before="280" w:after="120"/>
      </w:pPr>
      <w:bookmarkStart w:id="3" w:name="_Toc30168"/>
      <w:r>
        <w:rPr>
          <w:rFonts w:ascii="微软雅黑" w:hAnsi="微软雅黑" w:eastAsia="微软雅黑"/>
          <w:b/>
          <w:i w:val="0"/>
          <w:color w:val="1F3864"/>
          <w:sz w:val="32"/>
        </w:rPr>
        <w:t>四、关键核查发现</w:t>
      </w:r>
      <w:bookmarkEnd w:id="3"/>
    </w:p>
    <w:p w14:paraId="5F2BF555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5496"/>
          <w:sz w:val="26"/>
        </w:rPr>
        <w:t>4.1 作者表达表的变换方式：确认为 DESeq2 VST</w:t>
      </w:r>
    </w:p>
    <w:p w14:paraId="6F4F64E1">
      <w:pPr>
        <w:spacing w:before="8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作者公开的 GSE229794_CountsNormalizedByDESeq2.csv.gz（14,538 基因 × 16 样本，数值范围 7.32–19.96）此前变换方式不明。与本次 DESeq2 模型逐一比对：</w:t>
      </w:r>
    </w:p>
    <w:p w14:paraId="2AE0819A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i w:val="0"/>
          <w:sz w:val="21"/>
        </w:rPr>
        <w:t>与本次 VST 值：r=0.976–0.977、斜率≈0.998、r²≈0.954（16 个样本全部一致）；</w:t>
      </w:r>
    </w:p>
    <w:p w14:paraId="4DCFEA42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i w:val="0"/>
          <w:sz w:val="21"/>
        </w:rPr>
        <w:t>与 rlog：r≈0.88、斜率≈0.36；与 log2(归一化计数)：斜率≈0.38，低表达层斜率→0.10、高表达层→0.92（方差稳定变换的典型压缩特征）。</w:t>
      </w:r>
    </w:p>
    <w:p w14:paraId="568341B9">
      <w:pPr>
        <w:spacing w:before="8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结论：该表是 DESeq2 VST 变换值，不是原始计数，也不是 log2 计数，不能当整数计数使用。逐基因残差（resid_sd≈0.59）主要来自定量与注释差异（Salmon/tximport vs featureCounts、UCSC knownGene vs GENCODE M25）。</w:t>
      </w:r>
    </w:p>
    <w:p w14:paraId="1F12B064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5496"/>
          <w:sz w:val="26"/>
        </w:rPr>
        <w:t>4.2 样本与基因对应：16/16 按序一致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671FF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DCE6F1"/>
          </w:tcPr>
          <w:p w14:paraId="187AF09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作者表达表列</w:t>
            </w:r>
          </w:p>
        </w:tc>
        <w:tc>
          <w:tcPr>
            <w:tcW w:w="3137" w:type="dxa"/>
            <w:shd w:val="clear" w:color="auto" w:fill="DCE6F1"/>
          </w:tcPr>
          <w:p w14:paraId="2D3523F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本次样本</w:t>
            </w:r>
          </w:p>
        </w:tc>
        <w:tc>
          <w:tcPr>
            <w:tcW w:w="3137" w:type="dxa"/>
            <w:shd w:val="clear" w:color="auto" w:fill="DCE6F1"/>
          </w:tcPr>
          <w:p w14:paraId="2B77FAC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组别</w:t>
            </w:r>
          </w:p>
        </w:tc>
      </w:tr>
      <w:tr w14:paraId="4B151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1E744B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Vehicle.1–5</w:t>
            </w:r>
          </w:p>
        </w:tc>
        <w:tc>
          <w:tcPr>
            <w:tcW w:w="3137" w:type="dxa"/>
          </w:tcPr>
          <w:p w14:paraId="5BEF8A2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GSM7177833–37</w:t>
            </w:r>
          </w:p>
        </w:tc>
        <w:tc>
          <w:tcPr>
            <w:tcW w:w="3137" w:type="dxa"/>
          </w:tcPr>
          <w:p w14:paraId="7D0E954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Vehicle</w:t>
            </w:r>
          </w:p>
        </w:tc>
      </w:tr>
      <w:tr w14:paraId="0B954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096E17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GDF15.1–6</w:t>
            </w:r>
          </w:p>
        </w:tc>
        <w:tc>
          <w:tcPr>
            <w:tcW w:w="3137" w:type="dxa"/>
          </w:tcPr>
          <w:p w14:paraId="409964A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GSM7177838–43</w:t>
            </w:r>
          </w:p>
        </w:tc>
        <w:tc>
          <w:tcPr>
            <w:tcW w:w="3137" w:type="dxa"/>
          </w:tcPr>
          <w:p w14:paraId="4A2E64F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GDF15</w:t>
            </w:r>
          </w:p>
        </w:tc>
      </w:tr>
      <w:tr w14:paraId="119AF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0A1104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PairFed.2–6</w:t>
            </w:r>
          </w:p>
        </w:tc>
        <w:tc>
          <w:tcPr>
            <w:tcW w:w="3137" w:type="dxa"/>
          </w:tcPr>
          <w:p w14:paraId="06AB1D9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GSM7177844–48</w:t>
            </w:r>
          </w:p>
        </w:tc>
        <w:tc>
          <w:tcPr>
            <w:tcW w:w="3137" w:type="dxa"/>
          </w:tcPr>
          <w:p w14:paraId="1FAED5E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Pair-fed</w:t>
            </w:r>
          </w:p>
        </w:tc>
      </w:tr>
    </w:tbl>
    <w:p w14:paraId="368259F1">
      <w:pPr>
        <w:spacing w:after="40"/>
      </w:pPr>
    </w:p>
    <w:p w14:paraId="186799F0">
      <w:pPr>
        <w:spacing w:before="8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每列与对应样本的 Pearson r 均为最高（0.891–0.893，对 log2 归一化计数）；比较方向均为 GDF15 相对对照，与论文及作者代码一致。LFC 秩一致性：GDF15 vs Pair-fed Spearman ρ=0.752，GDF15 vs Vehicle ρ=0.740。作者表中 |ΔVST| 最大的基因（Cish −1.63、Pfkfb3 −1.25、Chac1 −1.10 等）与本次 35 个 DEG 高度重合，强信号两侧一致。</w:t>
      </w:r>
    </w:p>
    <w:p w14:paraId="20CF617A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5496"/>
          <w:sz w:val="26"/>
        </w:rPr>
        <w:t>4.3 肝脏包完整性核验</w:t>
      </w:r>
    </w:p>
    <w:p w14:paraId="3B9ED35C">
      <w:pPr>
        <w:spacing w:before="8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运行 05_code/03_verify_package.R：文件齐全、MD5 与字节数一致、样本身份与绘图坐标一致，结果为 PASS。新增的 06_verify_final_figures.R 复核 Fig.1i 解释率标签与 Fig.1j Poisson 叶序（18/18 一致）。</w:t>
      </w:r>
    </w:p>
    <w:p w14:paraId="2DB2FA42">
      <w:r>
        <w:br w:type="page"/>
      </w:r>
    </w:p>
    <w:p w14:paraId="7C292B7E">
      <w:pPr>
        <w:pStyle w:val="3"/>
        <w:spacing w:before="280" w:after="120"/>
      </w:pPr>
      <w:bookmarkStart w:id="4" w:name="_Toc26245"/>
      <w:r>
        <w:rPr>
          <w:rFonts w:ascii="微软雅黑" w:hAnsi="微软雅黑" w:eastAsia="微软雅黑"/>
          <w:b/>
          <w:i w:val="0"/>
          <w:color w:val="1F3864"/>
          <w:sz w:val="32"/>
        </w:rPr>
        <w:t>五、产出文件与代码位置</w:t>
      </w:r>
      <w:bookmarkEnd w:id="4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860"/>
      </w:tblGrid>
      <w:tr w14:paraId="69DD1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51" w:type="dxa"/>
            <w:shd w:val="clear" w:color="auto" w:fill="DCE6F1"/>
          </w:tcPr>
          <w:p w14:paraId="68A60A4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类别</w:t>
            </w:r>
          </w:p>
        </w:tc>
        <w:tc>
          <w:tcPr>
            <w:tcW w:w="6860" w:type="dxa"/>
            <w:shd w:val="clear" w:color="auto" w:fill="DCE6F1"/>
          </w:tcPr>
          <w:p w14:paraId="583A11E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位置</w:t>
            </w:r>
          </w:p>
        </w:tc>
      </w:tr>
      <w:tr w14:paraId="21AE2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DA8CD9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肌肉最终图（论文样式）</w:t>
            </w:r>
          </w:p>
        </w:tc>
        <w:tc>
          <w:tcPr>
            <w:tcW w:w="6860" w:type="dxa"/>
          </w:tcPr>
          <w:p w14:paraId="3E56316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GDF15_核心图交接包_20261011\01_继续分析项目\outputs\figures\（Fig4b、Fig4i 等；原图备份于 backup_原版_20261011\）</w:t>
            </w:r>
          </w:p>
        </w:tc>
      </w:tr>
      <w:tr w14:paraId="533B1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3C7271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肝脏最终报告图</w:t>
            </w:r>
          </w:p>
        </w:tc>
        <w:tc>
          <w:tcPr>
            <w:tcW w:w="6860" w:type="dxa"/>
          </w:tcPr>
          <w:p w14:paraId="52FCD96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GDF15_肝脏Fig1i_1j交接包_20261013\07_figures\final\（Fig1i_rlog / VST、Fig1j_raw_Poisson 的 PNG 与 PDF）</w:t>
            </w:r>
          </w:p>
        </w:tc>
      </w:tr>
      <w:tr w14:paraId="0D6CE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2E67F6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肌肉核查代码</w:t>
            </w:r>
          </w:p>
        </w:tc>
        <w:tc>
          <w:tcPr>
            <w:tcW w:w="6860" w:type="dxa"/>
          </w:tcPr>
          <w:p w14:paraId="085FCC7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work\gdf15\audit_handoff_20261011.R、audit_transform_gostats_20261011.R、audit_sensitivity_padj_only_20261011.R、check_pka_author_scale.R</w:t>
            </w:r>
          </w:p>
        </w:tc>
      </w:tr>
      <w:tr w14:paraId="0A2E4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707763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图件重绘代码</w:t>
            </w:r>
          </w:p>
        </w:tc>
        <w:tc>
          <w:tcPr>
            <w:tcW w:w="6860" w:type="dxa"/>
          </w:tcPr>
          <w:p w14:paraId="37A42B2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work\gdf15\restyle_fig4b_fig4i_paper_style.R</w:t>
            </w:r>
          </w:p>
        </w:tc>
      </w:tr>
      <w:tr w14:paraId="096E3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6F113E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肝脏绘图与验证代码</w:t>
            </w:r>
          </w:p>
        </w:tc>
        <w:tc>
          <w:tcPr>
            <w:tcW w:w="6860" w:type="dxa"/>
          </w:tcPr>
          <w:p w14:paraId="72A0D46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05_code\05_final_report_figures.R、05_code\06_verify_final_figures.R</w:t>
            </w:r>
          </w:p>
        </w:tc>
      </w:tr>
      <w:tr w14:paraId="392F8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98332E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核查与处理记录</w:t>
            </w:r>
          </w:p>
        </w:tc>
        <w:tc>
          <w:tcPr>
            <w:tcW w:w="6860" w:type="dxa"/>
          </w:tcPr>
          <w:p w14:paraId="5F897C9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02_处理记录\接手核查记录_20261011.md；06_records\processing_record.md、final_figures_summary.md、report_notes.md</w:t>
            </w:r>
          </w:p>
        </w:tc>
      </w:tr>
    </w:tbl>
    <w:p w14:paraId="2FA13719">
      <w:pPr>
        <w:spacing w:after="40"/>
      </w:pPr>
    </w:p>
    <w:p w14:paraId="3FD0632D">
      <w:pPr>
        <w:pStyle w:val="3"/>
        <w:spacing w:before="280" w:after="120"/>
      </w:pPr>
      <w:bookmarkStart w:id="5" w:name="_Toc21169"/>
      <w:r>
        <w:rPr>
          <w:rFonts w:ascii="微软雅黑" w:hAnsi="微软雅黑" w:eastAsia="微软雅黑"/>
          <w:b/>
          <w:i w:val="0"/>
          <w:color w:val="1F3864"/>
          <w:sz w:val="32"/>
        </w:rPr>
        <w:t>六、边界、局限与诚实性声明</w:t>
      </w:r>
      <w:bookmarkEnd w:id="5"/>
    </w:p>
    <w:p w14:paraId="0C123121">
      <w:pPr>
        <w:pStyle w:val="14"/>
        <w:spacing w:after="40" w:line="312" w:lineRule="auto"/>
      </w:pPr>
      <w:r>
        <w:rPr>
          <w:rFonts w:ascii="微软雅黑" w:hAnsi="微软雅黑" w:eastAsia="微软雅黑"/>
          <w:b w:val="0"/>
          <w:i w:val="0"/>
          <w:sz w:val="21"/>
        </w:rPr>
        <w:t>本次为方法替代复现：修剪、定量、注释、多重比对策略均与作者不同，且缺少 tximport 长度偏移量，不宣称逐数值精确复现。</w:t>
      </w:r>
    </w:p>
    <w:p w14:paraId="4750AE1B">
      <w:pPr>
        <w:pStyle w:val="14"/>
        <w:spacing w:after="40" w:line="312" w:lineRule="auto"/>
      </w:pPr>
      <w:r>
        <w:rPr>
          <w:rFonts w:ascii="微软雅黑" w:hAnsi="微软雅黑" w:eastAsia="微软雅黑"/>
          <w:b w:val="0"/>
          <w:i w:val="0"/>
          <w:sz w:val="21"/>
        </w:rPr>
        <w:t>肝脏分析从作者计数矩阵开始，未执行肝脏 FASTQ 下载、质控与比对；此前肌肉 FASTQ 流程不能作为肝脏处理证据。</w:t>
      </w:r>
    </w:p>
    <w:p w14:paraId="2BA83EB1">
      <w:pPr>
        <w:pStyle w:val="14"/>
        <w:spacing w:after="40" w:line="312" w:lineRule="auto"/>
      </w:pPr>
      <w:r>
        <w:rPr>
          <w:rFonts w:ascii="微软雅黑" w:hAnsi="微软雅黑" w:eastAsia="微软雅黑"/>
          <w:b w:val="0"/>
          <w:i w:val="0"/>
          <w:sz w:val="21"/>
        </w:rPr>
        <w:t>Fig.4c 判定为“不可复现（方法依赖性结果）”，未为凑原图而删样本或放宽阈值。</w:t>
      </w:r>
    </w:p>
    <w:p w14:paraId="5B918DCF">
      <w:pPr>
        <w:pStyle w:val="14"/>
        <w:spacing w:after="40" w:line="312" w:lineRule="auto"/>
      </w:pPr>
      <w:r>
        <w:rPr>
          <w:rFonts w:ascii="微软雅黑" w:hAnsi="微软雅黑" w:eastAsia="微软雅黑"/>
          <w:b w:val="0"/>
          <w:i w:val="0"/>
          <w:sz w:val="21"/>
        </w:rPr>
        <w:t>Fig.4i 与论文一致采用截断轴，视觉上放大组间差异；建议报告注明或提供完整轴版本。</w:t>
      </w:r>
    </w:p>
    <w:p w14:paraId="718AB1BF">
      <w:pPr>
        <w:pStyle w:val="14"/>
        <w:spacing w:after="40" w:line="312" w:lineRule="auto"/>
      </w:pPr>
      <w:r>
        <w:rPr>
          <w:rFonts w:ascii="微软雅黑" w:hAnsi="微软雅黑" w:eastAsia="微软雅黑"/>
          <w:b w:val="0"/>
          <w:i w:val="0"/>
          <w:sz w:val="21"/>
        </w:rPr>
        <w:t>Fig.1i 图注（VST）与作者代码（rlog）不一致，两版并列提供；Fig.1j 的 Poisson 距离为诊断性替代，未经作者确认。</w:t>
      </w:r>
    </w:p>
    <w:p w14:paraId="53561321">
      <w:pPr>
        <w:pStyle w:val="14"/>
        <w:spacing w:after="40" w:line="312" w:lineRule="auto"/>
      </w:pPr>
      <w:r>
        <w:rPr>
          <w:rFonts w:ascii="微软雅黑" w:hAnsi="微软雅黑" w:eastAsia="微软雅黑"/>
          <w:b w:val="0"/>
          <w:i w:val="0"/>
          <w:sz w:val="21"/>
        </w:rPr>
        <w:t>Fig.2e 未复现（缺配对体重数据）；Fig.2k 配对关系未证实，仅作探索性附件。</w:t>
      </w:r>
    </w:p>
    <w:p w14:paraId="3B008206">
      <w:pPr>
        <w:pStyle w:val="14"/>
        <w:spacing w:after="40" w:line="312" w:lineRule="auto"/>
      </w:pPr>
      <w:r>
        <w:rPr>
          <w:rFonts w:ascii="微软雅黑" w:hAnsi="微软雅黑" w:eastAsia="微软雅黑"/>
          <w:b w:val="0"/>
          <w:i w:val="0"/>
          <w:sz w:val="21"/>
        </w:rPr>
        <w:t>PCA 与热图展示的是样本相似性，不能据此证明具体通路激活或肌肉能耗机制；两组织数据不应混用。</w:t>
      </w:r>
    </w:p>
    <w:p w14:paraId="254C9B9D">
      <w:pPr>
        <w:pStyle w:val="14"/>
        <w:spacing w:after="40" w:line="312" w:lineRule="auto"/>
      </w:pPr>
      <w:r>
        <w:rPr>
          <w:rFonts w:hint="eastAsia"/>
          <w:b w:val="0"/>
          <w:i w:val="0"/>
          <w:sz w:val="21"/>
          <w:lang w:val="en-US" w:eastAsia="zh-CN"/>
        </w:rPr>
        <w:t>数据质控部分由gpt参与完成</w:t>
      </w:r>
      <w:r>
        <w:rPr>
          <w:rFonts w:ascii="微软雅黑" w:hAnsi="微软雅黑" w:eastAsia="微软雅黑"/>
          <w:b w:val="0"/>
          <w:i w:val="0"/>
          <w:sz w:val="21"/>
        </w:rPr>
        <w:t>、代码编写</w:t>
      </w:r>
      <w:r>
        <w:rPr>
          <w:rFonts w:hint="eastAsia"/>
          <w:b w:val="0"/>
          <w:i w:val="0"/>
          <w:sz w:val="21"/>
          <w:lang w:eastAsia="zh-CN"/>
        </w:rPr>
        <w:t>、</w:t>
      </w:r>
      <w:r>
        <w:rPr>
          <w:rFonts w:ascii="微软雅黑" w:hAnsi="微软雅黑" w:eastAsia="微软雅黑"/>
          <w:b w:val="0"/>
          <w:i w:val="0"/>
          <w:sz w:val="21"/>
        </w:rPr>
        <w:t>记录整理</w:t>
      </w:r>
      <w:r>
        <w:rPr>
          <w:rFonts w:hint="eastAsia"/>
          <w:b w:val="0"/>
          <w:i w:val="0"/>
          <w:sz w:val="21"/>
          <w:lang w:eastAsia="zh-CN"/>
        </w:rPr>
        <w:t>、</w:t>
      </w:r>
      <w:r>
        <w:rPr>
          <w:rFonts w:hint="eastAsia"/>
          <w:b w:val="0"/>
          <w:i w:val="0"/>
          <w:sz w:val="21"/>
          <w:lang w:val="en-US" w:eastAsia="zh-CN"/>
        </w:rPr>
        <w:t>报告撰写</w:t>
      </w:r>
      <w:bookmarkStart w:id="6" w:name="_GoBack"/>
      <w:bookmarkEnd w:id="6"/>
      <w:r>
        <w:rPr>
          <w:rFonts w:hint="eastAsia"/>
          <w:b w:val="0"/>
          <w:i w:val="0"/>
          <w:sz w:val="21"/>
          <w:lang w:val="en-US" w:eastAsia="zh-CN"/>
        </w:rPr>
        <w:t>部分由codebuddy参与辅助完成。</w:t>
      </w:r>
    </w:p>
    <w:sectPr>
      <w:pgSz w:w="11906" w:h="16838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C67227"/>
    <w:rsid w:val="743A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3549</Words>
  <Characters>6436</Characters>
  <Lines>0</Lines>
  <Paragraphs>0</Paragraphs>
  <TotalTime>29</TotalTime>
  <ScaleCrop>false</ScaleCrop>
  <LinksUpToDate>false</LinksUpToDate>
  <CharactersWithSpaces>6982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24K纯帅的魃魈魁鬾魑魅魍魉</cp:lastModifiedBy>
  <dcterms:modified xsi:type="dcterms:W3CDTF">2026-10-15T14:48:39Z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eyJoZGlkIjoiMzEwNTM5NzYwMDRjMzkwZTVkZjY2ODkwMGIxNGU0OTUiLCJ1c2VySWQiOiI4MjM3OTEwNjgifQ==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21E5ACB6BCD14D1888319D937D6B06EB_12</vt:lpwstr>
  </property>
</Properties>
</file>