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200"/>
      </w:pPr>
      <w:r>
        <w:rPr>
          <w:rFonts w:ascii="Calibri" w:hAnsi="Calibri" w:eastAsia="Noto Sans CJK SC"/>
          <w:b/>
          <w:color w:val="2E74B5"/>
          <w:sz w:val="20"/>
        </w:rPr>
        <w:t>STAGE 02 / PROJECT CONTROL DOCUMENT</w:t>
      </w:r>
    </w:p>
    <w:p>
      <w:pPr>
        <w:spacing w:after="80"/>
      </w:pPr>
      <w:r>
        <w:rPr>
          <w:rFonts w:ascii="Calibri" w:hAnsi="Calibri" w:eastAsia="Noto Sans CJK SC"/>
          <w:b/>
          <w:color w:val="5B6573"/>
          <w:sz w:val="32"/>
        </w:rPr>
        <w:t>Code Agent KVCache系统</w:t>
      </w:r>
    </w:p>
    <w:p>
      <w:pPr>
        <w:keepNext/>
        <w:spacing w:after="120"/>
      </w:pPr>
      <w:r>
        <w:rPr>
          <w:rFonts w:ascii="Calibri" w:hAnsi="Calibri" w:eastAsia="Noto Sans CJK SC"/>
          <w:b/>
          <w:color w:val="1F2937"/>
          <w:sz w:val="52"/>
        </w:rPr>
        <w:t>项目定义与技术指标确认表</w:t>
      </w:r>
    </w:p>
    <w:p>
      <w:pPr>
        <w:spacing w:after="360"/>
      </w:pPr>
      <w:r>
        <w:rPr>
          <w:rFonts w:ascii="Calibri" w:hAnsi="Calibri" w:eastAsia="Noto Sans CJK SC"/>
          <w:b/>
          <w:color w:val="1F4D78"/>
          <w:sz w:val="26"/>
        </w:rPr>
        <w:t>软硬协同大规模KVCache系统 · 项目定义、验收口径与阶段门控</w:t>
      </w:r>
    </w:p>
    <w:p>
      <w:pPr>
        <w:keepNext w:val="0"/>
        <w:spacing w:before="0" w:after="320" w:line="283" w:lineRule="auto"/>
        <w:jc w:val="left"/>
      </w:pPr>
      <w:r>
        <w:rPr>
          <w:rFonts w:ascii="Calibri" w:hAnsi="Calibri" w:eastAsia="Noto Sans CJK SC"/>
          <w:b w:val="0"/>
          <w:i w:val="0"/>
          <w:color w:val="1F2937"/>
          <w:sz w:val="22"/>
        </w:rPr>
        <w:t>本文件将上一阶段的工作负载分析转化为可签字确认的项目边界和测量规则。其作用是先固定研究对象、兼容域、基线、统计分母和安全边界，再开始Trace采集与系统实现。</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800"/>
        <w:gridCol w:w="7560"/>
      </w:tblGrid>
      <w:tr>
        <w:trPr>
          <w:tblHeader w:val="true"/>
          <w:cantSplit/>
        </w:trPr>
        <w:tc>
          <w:tcPr>
            <w:tcW w:type="dxa" w:w="18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9"/>
              </w:rPr>
              <w:t>字段</w:t>
            </w:r>
          </w:p>
        </w:tc>
        <w:tc>
          <w:tcPr>
            <w:tcW w:type="dxa" w:w="75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9"/>
              </w:rPr>
              <w:t>内容</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文件版本</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V1.0（推荐默认方案 + 待确认项）</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编制日期</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2026-08-27</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当前状态</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Draft for Confirmation / 待项目方确认</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前置材料</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《Code Agent工作负载与KVCache复用场景分析》V1.0</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适用范围</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9"/>
              </w:rPr>
              <w:t>项目立项、Trace采集、基线实验、原型验收与论文/专利证据管理</w:t>
            </w:r>
          </w:p>
        </w:tc>
      </w:tr>
    </w:tbl>
    <w:p>
      <w:pPr>
        <w:spacing w:before="0" w:after="40" w:line="240" w:lineRule="auto"/>
      </w:pPr>
      <w:r>
        <w:rPr>
          <w:rFonts w:ascii="Calibri" w:hAnsi="Calibri" w:eastAsia="Noto Sans CJK SC"/>
          <w:sz w:val="2"/>
        </w:rPr>
      </w:r>
    </w:p>
    <w:p>
      <w:pPr>
        <w:spacing w:before="120" w:after="160" w:line="264" w:lineRule="auto"/>
        <w:ind w:left="115" w:right="58"/>
        <w:shd w:fill="E8EEF5" w:val="clear"/>
        <w:pBdr>
          <w:left w:val="single" w:sz="18" w:space="8" w:color="2E74B5"/>
        </w:pBdr>
      </w:pPr>
      <w:r>
        <w:rPr>
          <w:rFonts w:ascii="Calibri" w:hAnsi="Calibri" w:eastAsia="Noto Sans CJK SC"/>
          <w:b/>
          <w:color w:val="1F4D78"/>
          <w:sz w:val="20"/>
        </w:rPr>
        <w:t xml:space="preserve">阶段门控  </w:t>
      </w:r>
      <w:r>
        <w:rPr>
          <w:rFonts w:ascii="Calibri" w:hAnsi="Calibri" w:eastAsia="Noto Sans CJK SC"/>
          <w:color w:val="1F2937"/>
          <w:sz w:val="20"/>
        </w:rPr>
        <w:t>P0确认项全部得到明确结论、Trace隐私方案获批、指标分母与基线冻结后，项目才进入正式基线实验。70%、95%、90%和10%在此之前均属于候选验收目标。</w:t>
      </w:r>
    </w:p>
    <w:p>
      <w:pPr>
        <w:keepNext w:val="0"/>
        <w:spacing w:before="0" w:after="0" w:line="264" w:lineRule="auto"/>
        <w:jc w:val="left"/>
      </w:pPr>
      <w:r>
        <w:rPr>
          <w:rFonts w:ascii="Calibri" w:hAnsi="Calibri" w:eastAsia="Noto Sans CJK SC"/>
          <w:b w:val="0"/>
          <w:i w:val="0"/>
          <w:color w:val="5B6573"/>
          <w:sz w:val="20"/>
        </w:rPr>
        <w:t>填写状态： [ ] 已审阅  [ ] 条件通过  [ ] 已冻结</w:t>
      </w:r>
    </w:p>
    <w:p>
      <w:r>
        <w:br w:type="page"/>
      </w:r>
    </w:p>
    <w:p>
      <w:pPr>
        <w:pStyle w:val="Heading1"/>
        <w:keepNext/>
        <w:keepLines/>
      </w:pPr>
      <w:r>
        <w:rPr>
          <w:rFonts w:ascii="Calibri" w:hAnsi="Calibri" w:eastAsia="Noto Sans CJK SC"/>
          <w:b/>
          <w:color w:val="2E74B5"/>
          <w:sz w:val="32"/>
        </w:rPr>
        <w:t>执行摘要：本阶段建议冻结什么</w:t>
      </w:r>
    </w:p>
    <w:p>
      <w:pPr>
        <w:spacing w:before="120" w:after="160" w:line="264" w:lineRule="auto"/>
        <w:ind w:left="115" w:right="58"/>
        <w:shd w:fill="F4F6F9" w:val="clear"/>
        <w:pBdr>
          <w:left w:val="single" w:sz="18" w:space="8" w:color="2E74B5"/>
        </w:pBdr>
      </w:pPr>
      <w:r>
        <w:rPr>
          <w:rFonts w:ascii="Calibri" w:hAnsi="Calibri" w:eastAsia="Noto Sans CJK SC"/>
          <w:b/>
          <w:color w:val="1F4D78"/>
          <w:sz w:val="20"/>
        </w:rPr>
        <w:t xml:space="preserve">核心建议  </w:t>
      </w:r>
      <w:r>
        <w:rPr>
          <w:rFonts w:ascii="Calibri" w:hAnsi="Calibri" w:eastAsia="Noto Sans CJK SC"/>
          <w:color w:val="1F2937"/>
          <w:sz w:val="20"/>
        </w:rPr>
        <w:t>以端到端有效Token命中率作为主要命中指标；逻辑Token命中率和请求命中率作为辅助指标。所有缓存收益必须与同模型、同引擎、同请求、同调度口径的无缓存基线配对比较。</w:t>
      </w:r>
    </w:p>
    <w:p>
      <w:pPr>
        <w:keepLines/>
        <w:spacing w:before="0" w:after="160" w:line="280" w:lineRule="auto"/>
        <w:numPr>
          <w:ilvl w:val="0"/>
          <w:numId w:val="10"/>
        </w:numPr>
      </w:pPr>
      <w:r>
        <w:rPr>
          <w:rFonts w:ascii="Calibri" w:hAnsi="Calibri" w:eastAsia="Noto Sans CJK SC"/>
          <w:color w:val="1F2937"/>
          <w:sz w:val="21"/>
        </w:rPr>
        <w:t>MVP优先支持单一目标模型、GQA、FP16/BF16、精确前缀复用，以及边界清晰的HBM + DRAM两级缓存。</w:t>
      </w:r>
    </w:p>
    <w:p>
      <w:pPr>
        <w:keepLines/>
        <w:spacing w:before="0" w:after="160" w:line="280" w:lineRule="auto"/>
        <w:numPr>
          <w:ilvl w:val="0"/>
          <w:numId w:val="10"/>
        </w:numPr>
      </w:pPr>
      <w:r>
        <w:rPr>
          <w:rFonts w:ascii="Calibri" w:hAnsi="Calibri" w:eastAsia="Noto Sans CJK SC"/>
          <w:color w:val="1F2937"/>
          <w:sz w:val="21"/>
        </w:rPr>
        <w:t>总体指标默认包含首轮冷启动和容量导致的未命中，同时单独报告冷/热、完全/部分/未命中切片。</w:t>
      </w:r>
    </w:p>
    <w:p>
      <w:pPr>
        <w:keepLines/>
        <w:spacing w:before="0" w:after="160" w:line="280" w:lineRule="auto"/>
        <w:numPr>
          <w:ilvl w:val="0"/>
          <w:numId w:val="10"/>
        </w:numPr>
      </w:pPr>
      <w:r>
        <w:rPr>
          <w:rFonts w:ascii="Calibri" w:hAnsi="Calibri" w:eastAsia="Noto Sans CJK SC"/>
          <w:color w:val="1F2937"/>
          <w:sz w:val="21"/>
        </w:rPr>
        <w:t>缓存兼容域必须包含模型与权重版本、Tokenizer、Adapter、位置编码、注意力结构、数值格式、引擎/内核布局和安全域。</w:t>
      </w:r>
    </w:p>
    <w:p>
      <w:pPr>
        <w:keepLines/>
        <w:spacing w:before="0" w:after="160" w:line="280" w:lineRule="auto"/>
        <w:numPr>
          <w:ilvl w:val="0"/>
          <w:numId w:val="10"/>
        </w:numPr>
      </w:pPr>
      <w:r>
        <w:rPr>
          <w:rFonts w:ascii="Calibri" w:hAnsi="Calibri" w:eastAsia="Noto Sans CJK SC"/>
          <w:color w:val="1F2937"/>
          <w:sz w:val="21"/>
        </w:rPr>
        <w:t>Trace以LLM推理请求为主事实表，以Prompt片段、缓存事件、Agent步骤、文件变化和实验配置为关联表。</w:t>
      </w:r>
    </w:p>
    <w:p>
      <w:pPr>
        <w:keepLines/>
        <w:spacing w:before="0" w:after="160" w:line="280" w:lineRule="auto"/>
        <w:numPr>
          <w:ilvl w:val="0"/>
          <w:numId w:val="10"/>
        </w:numPr>
      </w:pPr>
      <w:r>
        <w:rPr>
          <w:rFonts w:ascii="Calibri" w:hAnsi="Calibri" w:eastAsia="Noto Sans CJK SC"/>
          <w:color w:val="1F2937"/>
          <w:sz w:val="21"/>
        </w:rPr>
        <w:t>非前缀复用、跨租户共享、FP8/FP4和Hybrid/TensorQuant适配不进入第一版正确性基线。</w:t>
      </w:r>
    </w:p>
    <w:p>
      <w:pPr>
        <w:pStyle w:val="Heading2"/>
        <w:keepNext/>
        <w:keepLines/>
      </w:pPr>
      <w:r>
        <w:rPr>
          <w:rFonts w:ascii="Calibri" w:hAnsi="Calibri" w:eastAsia="Noto Sans CJK SC"/>
          <w:b/>
          <w:color w:val="2E74B5"/>
          <w:sz w:val="26"/>
        </w:rPr>
        <w:t>P0待确认事项</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780"/>
        <w:gridCol w:w="1660"/>
        <w:gridCol w:w="4050"/>
        <w:gridCol w:w="1550"/>
        <w:gridCol w:w="1320"/>
      </w:tblGrid>
      <w:tr>
        <w:trPr>
          <w:tblHeader w:val="true"/>
          <w:cantSplit/>
        </w:trPr>
        <w:tc>
          <w:tcPr>
            <w:tcW w:type="dxa" w:w="78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7"/>
              </w:rPr>
              <w:t>ID</w:t>
            </w:r>
          </w:p>
        </w:tc>
        <w:tc>
          <w:tcPr>
            <w:tcW w:type="dxa" w:w="16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确认项</w:t>
            </w:r>
          </w:p>
        </w:tc>
        <w:tc>
          <w:tcPr>
            <w:tcW w:type="dxa" w:w="405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推荐处理</w:t>
            </w:r>
          </w:p>
        </w:tc>
        <w:tc>
          <w:tcPr>
            <w:tcW w:type="dxa" w:w="155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责任角色</w:t>
            </w:r>
          </w:p>
        </w:tc>
        <w:tc>
          <w:tcPr>
            <w:tcW w:type="dxa" w:w="132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7"/>
              </w:rPr>
              <w:t>状态</w:t>
            </w:r>
          </w:p>
        </w:tc>
      </w:tr>
      <w:tr>
        <w:trPr>
          <w:cantSplit/>
        </w:trPr>
        <w:tc>
          <w:tcPr>
            <w:tcW w:type="dxa" w:w="78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P0-01</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目标Code Agent</w:t>
            </w:r>
          </w:p>
        </w:tc>
        <w:tc>
          <w:tcPr>
            <w:tcW w:type="dxa" w:w="4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明确产品/内部系统及纳入的任务类型</w:t>
            </w:r>
          </w:p>
        </w:tc>
        <w:tc>
          <w:tcPr>
            <w:tcW w:type="dxa" w:w="15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产品负责人</w:t>
            </w:r>
          </w:p>
        </w:tc>
        <w:tc>
          <w:tcPr>
            <w:tcW w:type="dxa" w:w="13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r>
        <w:trPr>
          <w:cantSplit/>
        </w:trPr>
        <w:tc>
          <w:tcPr>
            <w:tcW w:type="dxa" w:w="78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P0-02</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模型兼容域</w:t>
            </w:r>
          </w:p>
        </w:tc>
        <w:tc>
          <w:tcPr>
            <w:tcW w:type="dxa" w:w="4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冻结model revision、Tokenizer、Adapter和位置配置</w:t>
            </w:r>
          </w:p>
        </w:tc>
        <w:tc>
          <w:tcPr>
            <w:tcW w:type="dxa" w:w="15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模型负责人</w:t>
            </w:r>
          </w:p>
        </w:tc>
        <w:tc>
          <w:tcPr>
            <w:tcW w:type="dxa" w:w="13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r>
        <w:trPr>
          <w:cantSplit/>
        </w:trPr>
        <w:tc>
          <w:tcPr>
            <w:tcW w:type="dxa" w:w="78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P0-03</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推理底座</w:t>
            </w:r>
          </w:p>
        </w:tc>
        <w:tc>
          <w:tcPr>
            <w:tcW w:type="dxa" w:w="4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选择一个主引擎；B0/B1保持同版本同内核</w:t>
            </w:r>
          </w:p>
        </w:tc>
        <w:tc>
          <w:tcPr>
            <w:tcW w:type="dxa" w:w="15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推理负责人</w:t>
            </w:r>
          </w:p>
        </w:tc>
        <w:tc>
          <w:tcPr>
            <w:tcW w:type="dxa" w:w="13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r>
        <w:trPr>
          <w:cantSplit/>
        </w:trPr>
        <w:tc>
          <w:tcPr>
            <w:tcW w:type="dxa" w:w="78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P0-04</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硬件与拓扑</w:t>
            </w:r>
          </w:p>
        </w:tc>
        <w:tc>
          <w:tcPr>
            <w:tcW w:type="dxa" w:w="4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GPU/CPU/DRAM/NVMe/网络、并行与部署拓扑</w:t>
            </w:r>
          </w:p>
        </w:tc>
        <w:tc>
          <w:tcPr>
            <w:tcW w:type="dxa" w:w="15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系统负责人</w:t>
            </w:r>
          </w:p>
        </w:tc>
        <w:tc>
          <w:tcPr>
            <w:tcW w:type="dxa" w:w="13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r>
        <w:trPr>
          <w:cantSplit/>
        </w:trPr>
        <w:tc>
          <w:tcPr>
            <w:tcW w:type="dxa" w:w="78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P0-05</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Trace与隐私</w:t>
            </w:r>
          </w:p>
        </w:tc>
        <w:tc>
          <w:tcPr>
            <w:tcW w:type="dxa" w:w="4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数据来源、脱敏、权限、保留期和可回放等级</w:t>
            </w:r>
          </w:p>
        </w:tc>
        <w:tc>
          <w:tcPr>
            <w:tcW w:type="dxa" w:w="15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数据/安全</w:t>
            </w:r>
          </w:p>
        </w:tc>
        <w:tc>
          <w:tcPr>
            <w:tcW w:type="dxa" w:w="13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r>
        <w:trPr>
          <w:cantSplit/>
        </w:trPr>
        <w:tc>
          <w:tcPr>
            <w:tcW w:type="dxa" w:w="78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P0-06</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验收工作负载</w:t>
            </w:r>
          </w:p>
        </w:tc>
        <w:tc>
          <w:tcPr>
            <w:tcW w:type="dxa" w:w="4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数据集版本、切分、采样窗口、场景权重</w:t>
            </w:r>
          </w:p>
        </w:tc>
        <w:tc>
          <w:tcPr>
            <w:tcW w:type="dxa" w:w="15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评测负责人</w:t>
            </w:r>
          </w:p>
        </w:tc>
        <w:tc>
          <w:tcPr>
            <w:tcW w:type="dxa" w:w="13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r>
        <w:trPr>
          <w:cantSplit/>
        </w:trPr>
        <w:tc>
          <w:tcPr>
            <w:tcW w:type="dxa" w:w="78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P0-07</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缓存预算</w:t>
            </w:r>
          </w:p>
        </w:tc>
        <w:tc>
          <w:tcPr>
            <w:tcW w:type="dxa" w:w="4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各层容量、是否计入首轮冷启动、预热规则</w:t>
            </w:r>
          </w:p>
        </w:tc>
        <w:tc>
          <w:tcPr>
            <w:tcW w:type="dxa" w:w="15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系统负责人</w:t>
            </w:r>
          </w:p>
        </w:tc>
        <w:tc>
          <w:tcPr>
            <w:tcW w:type="dxa" w:w="13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r>
        <w:trPr>
          <w:cantSplit/>
        </w:trPr>
        <w:tc>
          <w:tcPr>
            <w:tcW w:type="dxa" w:w="78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P0-08</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成本口径</w:t>
            </w:r>
          </w:p>
        </w:tc>
        <w:tc>
          <w:tcPr>
            <w:tcW w:type="dxa" w:w="4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GPU/CPU/内存/SSD/网络/运维费率与统计周期</w:t>
            </w:r>
          </w:p>
        </w:tc>
        <w:tc>
          <w:tcPr>
            <w:tcW w:type="dxa" w:w="15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项目负责人</w:t>
            </w:r>
          </w:p>
        </w:tc>
        <w:tc>
          <w:tcPr>
            <w:tcW w:type="dxa" w:w="13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r>
        <w:trPr>
          <w:cantSplit/>
        </w:trPr>
        <w:tc>
          <w:tcPr>
            <w:tcW w:type="dxa" w:w="78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P0-09</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术语定义</w:t>
            </w:r>
          </w:p>
        </w:tc>
        <w:tc>
          <w:tcPr>
            <w:tcW w:type="dxa" w:w="4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取得Hybrid与TensorQuant的具体模型/格式规范</w:t>
            </w:r>
          </w:p>
        </w:tc>
        <w:tc>
          <w:tcPr>
            <w:tcW w:type="dxa" w:w="15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模型负责人</w:t>
            </w:r>
          </w:p>
        </w:tc>
        <w:tc>
          <w:tcPr>
            <w:tcW w:type="dxa" w:w="13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r>
        <w:trPr>
          <w:cantSplit/>
        </w:trPr>
        <w:tc>
          <w:tcPr>
            <w:tcW w:type="dxa" w:w="78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P0-10</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指标窗口</w:t>
            </w:r>
          </w:p>
        </w:tc>
        <w:tc>
          <w:tcPr>
            <w:tcW w:type="dxa" w:w="4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总体值、P50/P95/P99、置信区间与异常处理</w:t>
            </w:r>
          </w:p>
        </w:tc>
        <w:tc>
          <w:tcPr>
            <w:tcW w:type="dxa" w:w="15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评测负责人</w:t>
            </w:r>
          </w:p>
        </w:tc>
        <w:tc>
          <w:tcPr>
            <w:tcW w:type="dxa" w:w="13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填写和批准规则</w:t>
      </w:r>
    </w:p>
    <w:p>
      <w:pPr>
        <w:keepLines/>
        <w:spacing w:before="0" w:after="160" w:line="280" w:lineRule="auto"/>
        <w:numPr>
          <w:ilvl w:val="0"/>
          <w:numId w:val="10"/>
        </w:numPr>
      </w:pPr>
      <w:r>
        <w:rPr>
          <w:rFonts w:ascii="Calibri" w:hAnsi="Calibri" w:eastAsia="Noto Sans CJK SC"/>
          <w:color w:val="1F2937"/>
          <w:sz w:val="21"/>
        </w:rPr>
        <w:t>状态仅使用：待确认、条件通过、已冻结、超出范围。条件通过必须写明解除条件和责任人。</w:t>
      </w:r>
    </w:p>
    <w:p>
      <w:pPr>
        <w:keepLines/>
        <w:spacing w:before="0" w:after="160" w:line="280" w:lineRule="auto"/>
        <w:numPr>
          <w:ilvl w:val="0"/>
          <w:numId w:val="10"/>
        </w:numPr>
      </w:pPr>
      <w:r>
        <w:rPr>
          <w:rFonts w:ascii="Calibri" w:hAnsi="Calibri" w:eastAsia="Noto Sans CJK SC"/>
          <w:color w:val="1F2937"/>
          <w:sz w:val="21"/>
        </w:rPr>
        <w:t>任何验收数字都必须同时绑定数据集版本、统计分母、缓存容量、冷/热规则、模型版本和基线配置。</w:t>
      </w:r>
    </w:p>
    <w:p>
      <w:pPr>
        <w:keepLines/>
        <w:spacing w:before="0" w:after="160" w:line="280" w:lineRule="auto"/>
        <w:numPr>
          <w:ilvl w:val="0"/>
          <w:numId w:val="10"/>
        </w:numPr>
      </w:pPr>
      <w:r>
        <w:rPr>
          <w:rFonts w:ascii="Calibri" w:hAnsi="Calibri" w:eastAsia="Noto Sans CJK SC"/>
          <w:color w:val="1F2937"/>
          <w:sz w:val="21"/>
        </w:rPr>
        <w:t>后续技术方案若改变P0项，必须提升版本号并重新执行受影响的基线，而不是覆盖原始结果。</w:t>
      </w:r>
    </w:p>
    <w:p>
      <w:pPr>
        <w:pStyle w:val="Heading1"/>
        <w:keepNext/>
        <w:keepLines/>
      </w:pPr>
      <w:r>
        <w:rPr>
          <w:rFonts w:ascii="Calibri" w:hAnsi="Calibri" w:eastAsia="Noto Sans CJK SC"/>
          <w:b/>
          <w:color w:val="2E74B5"/>
          <w:sz w:val="32"/>
        </w:rPr>
        <w:t>1. 项目定义与研究边界</w:t>
      </w:r>
    </w:p>
    <w:p>
      <w:pPr>
        <w:pStyle w:val="Heading2"/>
        <w:keepNext/>
        <w:keepLines/>
      </w:pPr>
      <w:r>
        <w:rPr>
          <w:rFonts w:ascii="Calibri" w:hAnsi="Calibri" w:eastAsia="Noto Sans CJK SC"/>
          <w:b/>
          <w:color w:val="2E74B5"/>
          <w:sz w:val="26"/>
        </w:rPr>
        <w:t>1.1 项目目标</w:t>
      </w:r>
    </w:p>
    <w:p>
      <w:pPr>
        <w:keepNext w:val="0"/>
        <w:spacing w:before="0" w:after="120" w:line="264" w:lineRule="auto"/>
        <w:jc w:val="left"/>
      </w:pPr>
      <w:r>
        <w:rPr>
          <w:rFonts w:ascii="Calibri" w:hAnsi="Calibri" w:eastAsia="Noto Sans CJK SC"/>
          <w:b w:val="0"/>
          <w:i w:val="0"/>
          <w:color w:val="1F2937"/>
          <w:sz w:val="22"/>
        </w:rPr>
        <w:t>面向Code Agent的长上下文、多轮工具交互工作负载，构建可验证的KVCache复用系统，在不破坏正确性与租户隔离的前提下，提高可安全复用的Prefill Token比例，并降低TTFT和端到端推理成本。</w:t>
      </w:r>
    </w:p>
    <w:p>
      <w:pPr>
        <w:keepNext w:val="0"/>
        <w:spacing w:before="0" w:after="120" w:line="264" w:lineRule="auto"/>
        <w:jc w:val="left"/>
      </w:pPr>
      <w:r>
        <w:rPr>
          <w:rFonts w:ascii="Calibri" w:hAnsi="Calibri" w:eastAsia="Noto Sans CJK SC"/>
          <w:b w:val="0"/>
          <w:i w:val="0"/>
          <w:color w:val="1F2937"/>
          <w:sz w:val="22"/>
        </w:rPr>
        <w:t>本阶段不预设最终算法一定能够达到候选目标，而是建立能够证明或否证目标的Trace、基线和统计协议。</w:t>
      </w:r>
    </w:p>
    <w:p>
      <w:pPr>
        <w:pStyle w:val="Heading2"/>
        <w:keepNext/>
        <w:keepLines/>
      </w:pPr>
      <w:r>
        <w:rPr>
          <w:rFonts w:ascii="Calibri" w:hAnsi="Calibri" w:eastAsia="Noto Sans CJK SC"/>
          <w:b/>
          <w:color w:val="2E74B5"/>
          <w:sz w:val="26"/>
        </w:rPr>
        <w:t>1.2 研究对象定义</w:t>
      </w:r>
    </w:p>
    <w:p>
      <w:pPr>
        <w:spacing w:before="120" w:after="160" w:line="264" w:lineRule="auto"/>
        <w:ind w:left="115" w:right="58"/>
        <w:shd w:fill="F4F6F9" w:val="clear"/>
        <w:pBdr>
          <w:left w:val="single" w:sz="18" w:space="8" w:color="2E74B5"/>
        </w:pBdr>
      </w:pPr>
      <w:r>
        <w:rPr>
          <w:rFonts w:ascii="Calibri" w:hAnsi="Calibri" w:eastAsia="Noto Sans CJK SC"/>
          <w:b/>
          <w:color w:val="1F4D78"/>
          <w:sz w:val="20"/>
        </w:rPr>
        <w:t xml:space="preserve">工作定义  </w:t>
      </w:r>
      <w:r>
        <w:rPr>
          <w:rFonts w:ascii="Calibri" w:hAnsi="Calibri" w:eastAsia="Noto Sans CJK SC"/>
          <w:color w:val="1F2937"/>
          <w:sz w:val="20"/>
        </w:rPr>
        <w:t>Code Agent是以大语言模型为推理核心，能够感知代码仓库与执行环境、调用开发工具、修改项目状态、验证结果并循环决策的软件工程智能体。</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500"/>
        <w:gridCol w:w="4860"/>
        <w:gridCol w:w="3000"/>
      </w:tblGrid>
      <w:tr>
        <w:trPr>
          <w:tblHeader w:val="true"/>
          <w:cantSplit/>
        </w:trPr>
        <w:tc>
          <w:tcPr>
            <w:tcW w:type="dxa" w:w="15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范围</w:t>
            </w:r>
          </w:p>
        </w:tc>
        <w:tc>
          <w:tcPr>
            <w:tcW w:type="dxa" w:w="48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纳入内容</w:t>
            </w:r>
          </w:p>
        </w:tc>
        <w:tc>
          <w:tcPr>
            <w:tcW w:type="dxa" w:w="30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处理原则</w:t>
            </w:r>
          </w:p>
        </w:tc>
      </w:tr>
      <w:tr>
        <w:trPr>
          <w:cantSplit/>
        </w:trPr>
        <w:tc>
          <w:tcPr>
            <w:tcW w:type="dxa" w:w="1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纳入</w:t>
            </w:r>
          </w:p>
        </w:tc>
        <w:tc>
          <w:tcPr>
            <w:tcW w:type="dxa" w:w="4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仓库级理解、多文件修改、终端/测试/Git调用、多轮模型请求、同一仓库连续任务</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进入Trace和核心评测</w:t>
            </w:r>
          </w:p>
        </w:tc>
      </w:tr>
      <w:tr>
        <w:trPr>
          <w:cantSplit/>
        </w:trPr>
        <w:tc>
          <w:tcPr>
            <w:tcW w:type="dxa" w:w="1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条件纳入</w:t>
            </w:r>
          </w:p>
        </w:tc>
        <w:tc>
          <w:tcPr>
            <w:tcW w:type="dxa" w:w="4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跨会话复用、多Agent共享、SSD/远端层级、低精度KV</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在P0冻结后作为扩展实验</w:t>
            </w:r>
          </w:p>
        </w:tc>
      </w:tr>
      <w:tr>
        <w:trPr>
          <w:cantSplit/>
        </w:trPr>
        <w:tc>
          <w:tcPr>
            <w:tcW w:type="dxa" w:w="1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暂不纳入</w:t>
            </w:r>
          </w:p>
        </w:tc>
        <w:tc>
          <w:tcPr>
            <w:tcW w:type="dxa" w:w="4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单行补全、无真实工具交互的单轮生成、一般聊天、未经证明的任意文本块复用</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不计入首版验收</w:t>
            </w:r>
          </w:p>
        </w:tc>
      </w:tr>
      <w:tr>
        <w:trPr>
          <w:cantSplit/>
        </w:trPr>
        <w:tc>
          <w:tcPr>
            <w:tcW w:type="dxa" w:w="1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禁止默认启用</w:t>
            </w:r>
          </w:p>
        </w:tc>
        <w:tc>
          <w:tcPr>
            <w:tcW w:type="dxa" w:w="4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跨租户私有上下文共享、仅按文本相似度拼接KV</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需单独安全与正确性评审</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1.3 研究问题</w:t>
      </w:r>
    </w:p>
    <w:p>
      <w:pPr>
        <w:keepLines/>
        <w:spacing w:before="0" w:after="160" w:line="280" w:lineRule="auto"/>
        <w:numPr>
          <w:ilvl w:val="0"/>
          <w:numId w:val="12"/>
        </w:numPr>
      </w:pPr>
      <w:r>
        <w:rPr>
          <w:rFonts w:ascii="Calibri" w:hAnsi="Calibri" w:eastAsia="Noto Sans CJK SC"/>
          <w:color w:val="1F2937"/>
          <w:sz w:val="21"/>
        </w:rPr>
        <w:t>Code Agent的字节重复、Token重复、精确前缀重叠和可安全复用KV Token分别来自哪些上下文组件？</w:t>
      </w:r>
    </w:p>
    <w:p>
      <w:pPr>
        <w:keepLines/>
        <w:spacing w:before="0" w:after="160" w:line="280" w:lineRule="auto"/>
        <w:numPr>
          <w:ilvl w:val="0"/>
          <w:numId w:val="12"/>
        </w:numPr>
      </w:pPr>
      <w:r>
        <w:rPr>
          <w:rFonts w:ascii="Calibri" w:hAnsi="Calibri" w:eastAsia="Noto Sans CJK SC"/>
          <w:color w:val="1F2937"/>
          <w:sz w:val="21"/>
        </w:rPr>
        <w:t>Prompt布局规范化、固定排序和会话增量追加能把多少重复转化为安全前缀命中？</w:t>
      </w:r>
    </w:p>
    <w:p>
      <w:pPr>
        <w:keepLines/>
        <w:spacing w:before="0" w:after="160" w:line="280" w:lineRule="auto"/>
        <w:numPr>
          <w:ilvl w:val="0"/>
          <w:numId w:val="12"/>
        </w:numPr>
      </w:pPr>
      <w:r>
        <w:rPr>
          <w:rFonts w:ascii="Calibri" w:hAnsi="Calibri" w:eastAsia="Noto Sans CJK SC"/>
          <w:color w:val="1F2937"/>
          <w:sz w:val="21"/>
        </w:rPr>
        <w:t>在HBM、DRAM、SSD和远端层级中，读取、传输和恢复在何种条件下快于重算？</w:t>
      </w:r>
    </w:p>
    <w:p>
      <w:pPr>
        <w:keepLines/>
        <w:spacing w:before="0" w:after="160" w:line="280" w:lineRule="auto"/>
        <w:numPr>
          <w:ilvl w:val="0"/>
          <w:numId w:val="12"/>
        </w:numPr>
      </w:pPr>
      <w:r>
        <w:rPr>
          <w:rFonts w:ascii="Calibri" w:hAnsi="Calibri" w:eastAsia="Noto Sans CJK SC"/>
          <w:color w:val="1F2937"/>
          <w:sz w:val="21"/>
        </w:rPr>
        <w:t>局部文件变化后，哪些缓存应失效，哪些仍可在严格依赖条件下保留？</w:t>
      </w:r>
    </w:p>
    <w:p>
      <w:pPr>
        <w:keepLines/>
        <w:spacing w:before="0" w:after="160" w:line="280" w:lineRule="auto"/>
        <w:numPr>
          <w:ilvl w:val="0"/>
          <w:numId w:val="12"/>
        </w:numPr>
      </w:pPr>
      <w:r>
        <w:rPr>
          <w:rFonts w:ascii="Calibri" w:hAnsi="Calibri" w:eastAsia="Noto Sans CJK SC"/>
          <w:color w:val="1F2937"/>
          <w:sz w:val="21"/>
        </w:rPr>
        <w:t>低精度或传输压缩的容量收益是否抵消量化、反量化和质量损失？</w:t>
      </w:r>
    </w:p>
    <w:p>
      <w:pPr>
        <w:pStyle w:val="Heading1"/>
        <w:keepNext/>
        <w:keepLines/>
      </w:pPr>
      <w:r>
        <w:rPr>
          <w:rFonts w:ascii="Calibri" w:hAnsi="Calibri" w:eastAsia="Noto Sans CJK SC"/>
          <w:b/>
          <w:color w:val="2E74B5"/>
          <w:sz w:val="32"/>
        </w:rPr>
        <w:t>2. 工作负载、采样与测量单位</w:t>
      </w:r>
    </w:p>
    <w:p>
      <w:pPr>
        <w:pStyle w:val="Heading2"/>
        <w:keepNext/>
        <w:keepLines/>
      </w:pPr>
      <w:r>
        <w:rPr>
          <w:rFonts w:ascii="Calibri" w:hAnsi="Calibri" w:eastAsia="Noto Sans CJK SC"/>
          <w:b/>
          <w:color w:val="2E74B5"/>
          <w:sz w:val="26"/>
        </w:rPr>
        <w:t>2.1 Trace层级</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280"/>
        <w:gridCol w:w="1580"/>
        <w:gridCol w:w="3000"/>
        <w:gridCol w:w="3500"/>
      </w:tblGrid>
      <w:tr>
        <w:trPr>
          <w:tblHeader w:val="true"/>
          <w:cantSplit/>
        </w:trPr>
        <w:tc>
          <w:tcPr>
            <w:tcW w:type="dxa" w:w="128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层级</w:t>
            </w:r>
          </w:p>
        </w:tc>
        <w:tc>
          <w:tcPr>
            <w:tcW w:type="dxa" w:w="158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主键示例</w:t>
            </w:r>
          </w:p>
        </w:tc>
        <w:tc>
          <w:tcPr>
            <w:tcW w:type="dxa" w:w="30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一条记录代表</w:t>
            </w:r>
          </w:p>
        </w:tc>
        <w:tc>
          <w:tcPr>
            <w:tcW w:type="dxa" w:w="35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主要用途</w:t>
            </w:r>
          </w:p>
        </w:tc>
      </w:tr>
      <w:tr>
        <w:trPr>
          <w:cantSplit/>
        </w:trPr>
        <w:tc>
          <w:tcPr>
            <w:tcW w:type="dxa" w:w="12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任务 Task</w:t>
            </w:r>
          </w:p>
        </w:tc>
        <w:tc>
          <w:tcPr>
            <w:tcW w:type="dxa" w:w="1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task_id</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一个软件工程目标</w:t>
            </w:r>
          </w:p>
        </w:tc>
        <w:tc>
          <w:tcPr>
            <w:tcW w:type="dxa" w:w="3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任务成功率与总成本</w:t>
            </w:r>
          </w:p>
        </w:tc>
      </w:tr>
      <w:tr>
        <w:trPr>
          <w:cantSplit/>
        </w:trPr>
        <w:tc>
          <w:tcPr>
            <w:tcW w:type="dxa" w:w="12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会话 Session</w:t>
            </w:r>
          </w:p>
        </w:tc>
        <w:tc>
          <w:tcPr>
            <w:tcW w:type="dxa" w:w="1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session_id</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连续交互边界</w:t>
            </w:r>
          </w:p>
        </w:tc>
        <w:tc>
          <w:tcPr>
            <w:tcW w:type="dxa" w:w="3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跨轮次复用与冷/热状态</w:t>
            </w:r>
          </w:p>
        </w:tc>
      </w:tr>
      <w:tr>
        <w:trPr>
          <w:cantSplit/>
        </w:trPr>
        <w:tc>
          <w:tcPr>
            <w:tcW w:type="dxa" w:w="12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请求 Request</w:t>
            </w:r>
          </w:p>
        </w:tc>
        <w:tc>
          <w:tcPr>
            <w:tcW w:type="dxa" w:w="1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request_id</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一次LLM推理调用</w:t>
            </w:r>
          </w:p>
        </w:tc>
        <w:tc>
          <w:tcPr>
            <w:tcW w:type="dxa" w:w="3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命中、TTFT与成本的主事实</w:t>
            </w:r>
          </w:p>
        </w:tc>
      </w:tr>
      <w:tr>
        <w:trPr>
          <w:cantSplit/>
        </w:trPr>
        <w:tc>
          <w:tcPr>
            <w:tcW w:type="dxa" w:w="12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Prompt片段</w:t>
            </w:r>
          </w:p>
        </w:tc>
        <w:tc>
          <w:tcPr>
            <w:tcW w:type="dxa" w:w="1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segment_id</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系统/工具/规则/文件/历史等片段</w:t>
            </w:r>
          </w:p>
        </w:tc>
        <w:tc>
          <w:tcPr>
            <w:tcW w:type="dxa" w:w="3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重复来源和前缀边界</w:t>
            </w:r>
          </w:p>
        </w:tc>
      </w:tr>
      <w:tr>
        <w:trPr>
          <w:cantSplit/>
        </w:trPr>
        <w:tc>
          <w:tcPr>
            <w:tcW w:type="dxa" w:w="12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缓存事件</w:t>
            </w:r>
          </w:p>
        </w:tc>
        <w:tc>
          <w:tcPr>
            <w:tcW w:type="dxa" w:w="1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cache_event_id</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一次查找、读、写、预取或淘汰</w:t>
            </w:r>
          </w:p>
        </w:tc>
        <w:tc>
          <w:tcPr>
            <w:tcW w:type="dxa" w:w="3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有效命中与层级贡献</w:t>
            </w:r>
          </w:p>
        </w:tc>
      </w:tr>
      <w:tr>
        <w:trPr>
          <w:cantSplit/>
        </w:trPr>
        <w:tc>
          <w:tcPr>
            <w:tcW w:type="dxa" w:w="12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Agent步骤</w:t>
            </w:r>
          </w:p>
        </w:tc>
        <w:tc>
          <w:tcPr>
            <w:tcW w:type="dxa" w:w="1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step_id</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工具调用、编辑、测试或用户交互</w:t>
            </w:r>
          </w:p>
        </w:tc>
        <w:tc>
          <w:tcPr>
            <w:tcW w:type="dxa" w:w="3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还原闭环与因果顺序</w:t>
            </w:r>
          </w:p>
        </w:tc>
      </w:tr>
      <w:tr>
        <w:trPr>
          <w:cantSplit/>
        </w:trPr>
        <w:tc>
          <w:tcPr>
            <w:tcW w:type="dxa" w:w="12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文件变化</w:t>
            </w:r>
          </w:p>
        </w:tc>
        <w:tc>
          <w:tcPr>
            <w:tcW w:type="dxa" w:w="1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change_id</w:t>
            </w:r>
          </w:p>
        </w:tc>
        <w:tc>
          <w:tcPr>
            <w:tcW w:type="dxa" w:w="30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一个文件版本变化</w:t>
            </w:r>
          </w:p>
        </w:tc>
        <w:tc>
          <w:tcPr>
            <w:tcW w:type="dxa" w:w="3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增量失效和变化率</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2.2 必须保留的工作负载切片</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700"/>
        <w:gridCol w:w="3300"/>
        <w:gridCol w:w="4360"/>
      </w:tblGrid>
      <w:tr>
        <w:trPr>
          <w:tblHeader w:val="true"/>
          <w:cantSplit/>
        </w:trPr>
        <w:tc>
          <w:tcPr>
            <w:tcW w:type="dxa" w:w="17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维度</w:t>
            </w:r>
          </w:p>
        </w:tc>
        <w:tc>
          <w:tcPr>
            <w:tcW w:type="dxa" w:w="33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最小切片</w:t>
            </w:r>
          </w:p>
        </w:tc>
        <w:tc>
          <w:tcPr>
            <w:tcW w:type="dxa" w:w="43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为何不能只报总体值</w:t>
            </w:r>
          </w:p>
        </w:tc>
      </w:tr>
      <w:tr>
        <w:trPr>
          <w:cantSplit/>
        </w:trPr>
        <w:tc>
          <w:tcPr>
            <w:tcW w:type="dxa" w:w="1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复用范围</w:t>
            </w:r>
          </w:p>
        </w:tc>
        <w:tc>
          <w:tcPr>
            <w:tcW w:type="dxa" w:w="33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任务内 / 会话内 / 同仓库跨会话 / 平台公共前缀</w:t>
            </w:r>
          </w:p>
        </w:tc>
        <w:tc>
          <w:tcPr>
            <w:tcW w:type="dxa" w:w="43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不同范围的命中和安全边界不同</w:t>
            </w:r>
          </w:p>
        </w:tc>
      </w:tr>
      <w:tr>
        <w:trPr>
          <w:cantSplit/>
        </w:trPr>
        <w:tc>
          <w:tcPr>
            <w:tcW w:type="dxa" w:w="1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缓存状态</w:t>
            </w:r>
          </w:p>
        </w:tc>
        <w:tc>
          <w:tcPr>
            <w:tcW w:type="dxa" w:w="33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冷启动 / 预热 / 稳态</w:t>
            </w:r>
          </w:p>
        </w:tc>
        <w:tc>
          <w:tcPr>
            <w:tcW w:type="dxa" w:w="43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预热可显著改变95%等结果</w:t>
            </w:r>
          </w:p>
        </w:tc>
      </w:tr>
      <w:tr>
        <w:trPr>
          <w:cantSplit/>
        </w:trPr>
        <w:tc>
          <w:tcPr>
            <w:tcW w:type="dxa" w:w="1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命中形态</w:t>
            </w:r>
          </w:p>
        </w:tc>
        <w:tc>
          <w:tcPr>
            <w:tcW w:type="dxa" w:w="33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完全命中 / 部分命中 / 未命中 / 绕过</w:t>
            </w:r>
          </w:p>
        </w:tc>
        <w:tc>
          <w:tcPr>
            <w:tcW w:type="dxa" w:w="43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TTFT分布不可混合解释</w:t>
            </w:r>
          </w:p>
        </w:tc>
      </w:tr>
      <w:tr>
        <w:trPr>
          <w:cantSplit/>
        </w:trPr>
        <w:tc>
          <w:tcPr>
            <w:tcW w:type="dxa" w:w="1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上下文长度</w:t>
            </w:r>
          </w:p>
        </w:tc>
        <w:tc>
          <w:tcPr>
            <w:tcW w:type="dxa" w:w="33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按实际数据分位点建立至少四个桶</w:t>
            </w:r>
          </w:p>
        </w:tc>
        <w:tc>
          <w:tcPr>
            <w:tcW w:type="dxa" w:w="43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长上下文重算收益和I/O成本不同</w:t>
            </w:r>
          </w:p>
        </w:tc>
      </w:tr>
      <w:tr>
        <w:trPr>
          <w:cantSplit/>
        </w:trPr>
        <w:tc>
          <w:tcPr>
            <w:tcW w:type="dxa" w:w="1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代码变化</w:t>
            </w:r>
          </w:p>
        </w:tc>
        <w:tc>
          <w:tcPr>
            <w:tcW w:type="dxa" w:w="33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无变化 / 低 / 中 / 高变化率</w:t>
            </w:r>
          </w:p>
        </w:tc>
        <w:tc>
          <w:tcPr>
            <w:tcW w:type="dxa" w:w="43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决定缓存失效范围</w:t>
            </w:r>
          </w:p>
        </w:tc>
      </w:tr>
      <w:tr>
        <w:trPr>
          <w:cantSplit/>
        </w:trPr>
        <w:tc>
          <w:tcPr>
            <w:tcW w:type="dxa" w:w="1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并发</w:t>
            </w:r>
          </w:p>
        </w:tc>
        <w:tc>
          <w:tcPr>
            <w:tcW w:type="dxa" w:w="33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单请求 / 典型 / 峰值</w:t>
            </w:r>
          </w:p>
        </w:tc>
        <w:tc>
          <w:tcPr>
            <w:tcW w:type="dxa" w:w="43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队列和带宽争用会改变端到端收益</w:t>
            </w:r>
          </w:p>
        </w:tc>
      </w:tr>
      <w:tr>
        <w:trPr>
          <w:cantSplit/>
        </w:trPr>
        <w:tc>
          <w:tcPr>
            <w:tcW w:type="dxa" w:w="17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任务类型</w:t>
            </w:r>
          </w:p>
        </w:tc>
        <w:tc>
          <w:tcPr>
            <w:tcW w:type="dxa" w:w="33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缺陷修复 / 调试测试 / 代码审查 / 仓库理解 / 重构</w:t>
            </w:r>
          </w:p>
        </w:tc>
        <w:tc>
          <w:tcPr>
            <w:tcW w:type="dxa" w:w="43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Prompt结构与轮次差异明显</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2.3 采样与切分规则</w:t>
      </w:r>
    </w:p>
    <w:p>
      <w:pPr>
        <w:keepLines/>
        <w:spacing w:before="0" w:after="160" w:line="280" w:lineRule="auto"/>
        <w:numPr>
          <w:ilvl w:val="0"/>
          <w:numId w:val="10"/>
        </w:numPr>
      </w:pPr>
      <w:r>
        <w:rPr>
          <w:rFonts w:ascii="Calibri" w:hAnsi="Calibri" w:eastAsia="Noto Sans CJK SC"/>
          <w:color w:val="1F2937"/>
          <w:sz w:val="21"/>
        </w:rPr>
        <w:t>验收集应按时间和仓库切分，防止同一任务或近重复仓库同时进入调参与验收集合。</w:t>
      </w:r>
    </w:p>
    <w:p>
      <w:pPr>
        <w:keepLines/>
        <w:spacing w:before="0" w:after="160" w:line="280" w:lineRule="auto"/>
        <w:numPr>
          <w:ilvl w:val="0"/>
          <w:numId w:val="10"/>
        </w:numPr>
      </w:pPr>
      <w:r>
        <w:rPr>
          <w:rFonts w:ascii="Calibri" w:hAnsi="Calibri" w:eastAsia="Noto Sans CJK SC"/>
          <w:color w:val="1F2937"/>
          <w:sz w:val="21"/>
        </w:rPr>
        <w:t>总体指标使用预先冻结的场景权重；不得在看到结果后删除低命中场景或改变分母。</w:t>
      </w:r>
    </w:p>
    <w:p>
      <w:pPr>
        <w:keepLines/>
        <w:spacing w:before="0" w:after="160" w:line="280" w:lineRule="auto"/>
        <w:numPr>
          <w:ilvl w:val="0"/>
          <w:numId w:val="10"/>
        </w:numPr>
      </w:pPr>
      <w:r>
        <w:rPr>
          <w:rFonts w:ascii="Calibri" w:hAnsi="Calibri" w:eastAsia="Noto Sans CJK SC"/>
          <w:color w:val="1F2937"/>
          <w:sz w:val="21"/>
        </w:rPr>
        <w:t>生产Trace、可控合成Trace和微基准分别回答真实性、因果关系和收益边界，三类结果不得互相替代。</w:t>
      </w:r>
    </w:p>
    <w:p>
      <w:pPr>
        <w:keepLines/>
        <w:spacing w:before="0" w:after="160" w:line="280" w:lineRule="auto"/>
        <w:numPr>
          <w:ilvl w:val="0"/>
          <w:numId w:val="10"/>
        </w:numPr>
      </w:pPr>
      <w:r>
        <w:rPr>
          <w:rFonts w:ascii="Calibri" w:hAnsi="Calibri" w:eastAsia="Noto Sans CJK SC"/>
          <w:color w:val="1F2937"/>
          <w:sz w:val="21"/>
        </w:rPr>
        <w:t>所有时延必须记录队列、查找、传输、恢复、Prefill和Decode分量，不能只保留最终TTFT。</w:t>
      </w:r>
    </w:p>
    <w:p>
      <w:pPr>
        <w:pStyle w:val="Heading1"/>
        <w:keepNext/>
        <w:keepLines/>
      </w:pPr>
      <w:r>
        <w:rPr>
          <w:rFonts w:ascii="Calibri" w:hAnsi="Calibri" w:eastAsia="Noto Sans CJK SC"/>
          <w:b/>
          <w:color w:val="2E74B5"/>
          <w:sz w:val="32"/>
        </w:rPr>
        <w:t>3. 技术兼容域与阶段范围</w:t>
      </w:r>
    </w:p>
    <w:p>
      <w:pPr>
        <w:pStyle w:val="Heading2"/>
        <w:keepNext/>
        <w:keepLines/>
      </w:pPr>
      <w:r>
        <w:rPr>
          <w:rFonts w:ascii="Calibri" w:hAnsi="Calibri" w:eastAsia="Noto Sans CJK SC"/>
          <w:b/>
          <w:color w:val="2E74B5"/>
          <w:sz w:val="26"/>
        </w:rPr>
        <w:t>3.1 KVCache兼容域</w:t>
      </w:r>
    </w:p>
    <w:p>
      <w:pPr>
        <w:spacing w:before="120" w:after="160" w:line="264" w:lineRule="auto"/>
        <w:ind w:left="115" w:right="58"/>
        <w:shd w:fill="FDECEC" w:val="clear"/>
        <w:pBdr>
          <w:left w:val="single" w:sz="18" w:space="8" w:color="9B1C1C"/>
        </w:pBdr>
      </w:pPr>
      <w:r>
        <w:rPr>
          <w:rFonts w:ascii="Calibri" w:hAnsi="Calibri" w:eastAsia="Noto Sans CJK SC"/>
          <w:b/>
          <w:color w:val="1F4D78"/>
          <w:sz w:val="20"/>
        </w:rPr>
        <w:t xml:space="preserve">正确性红线  </w:t>
      </w:r>
      <w:r>
        <w:rPr>
          <w:rFonts w:ascii="Calibri" w:hAnsi="Calibri" w:eastAsia="Noto Sans CJK SC"/>
          <w:color w:val="1F2937"/>
          <w:sz w:val="20"/>
        </w:rPr>
        <w:t>缓存键不能只包含文本哈希。任何兼容域字段变化都默认导致缓存不兼容，除非有独立证明与回归测试。</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260"/>
        <w:gridCol w:w="3560"/>
        <w:gridCol w:w="3020"/>
        <w:gridCol w:w="1520"/>
      </w:tblGrid>
      <w:tr>
        <w:trPr>
          <w:tblHeader w:val="true"/>
          <w:cantSplit/>
        </w:trPr>
        <w:tc>
          <w:tcPr>
            <w:tcW w:type="dxa" w:w="12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类别</w:t>
            </w:r>
          </w:p>
        </w:tc>
        <w:tc>
          <w:tcPr>
            <w:tcW w:type="dxa" w:w="35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必须进入兼容域的字段</w:t>
            </w:r>
          </w:p>
        </w:tc>
        <w:tc>
          <w:tcPr>
            <w:tcW w:type="dxa" w:w="302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Trace要求</w:t>
            </w:r>
          </w:p>
        </w:tc>
        <w:tc>
          <w:tcPr>
            <w:tcW w:type="dxa" w:w="152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7"/>
              </w:rPr>
              <w:t>当前状态</w:t>
            </w:r>
          </w:p>
        </w:tc>
      </w:tr>
      <w:tr>
        <w:trPr>
          <w:cantSplit/>
        </w:trPr>
        <w:tc>
          <w:tcPr>
            <w:tcW w:type="dxa" w:w="1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模型</w:t>
            </w:r>
          </w:p>
        </w:tc>
        <w:tc>
          <w:tcPr>
            <w:tcW w:type="dxa" w:w="3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model_id、权重revision、Adapter/LoRA</w:t>
            </w:r>
          </w:p>
        </w:tc>
        <w:tc>
          <w:tcPr>
            <w:tcW w:type="dxa" w:w="30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记录精确版本或内容哈希</w:t>
            </w:r>
          </w:p>
        </w:tc>
        <w:tc>
          <w:tcPr>
            <w:tcW w:type="dxa" w:w="15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r>
        <w:trPr>
          <w:cantSplit/>
        </w:trPr>
        <w:tc>
          <w:tcPr>
            <w:tcW w:type="dxa" w:w="1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Tokenizer</w:t>
            </w:r>
          </w:p>
        </w:tc>
        <w:tc>
          <w:tcPr>
            <w:tcW w:type="dxa" w:w="3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名称、revision、特殊Token配置</w:t>
            </w:r>
          </w:p>
        </w:tc>
        <w:tc>
          <w:tcPr>
            <w:tcW w:type="dxa" w:w="30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保存tokenizer指纹</w:t>
            </w:r>
          </w:p>
        </w:tc>
        <w:tc>
          <w:tcPr>
            <w:tcW w:type="dxa" w:w="15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r>
        <w:trPr>
          <w:cantSplit/>
        </w:trPr>
        <w:tc>
          <w:tcPr>
            <w:tcW w:type="dxa" w:w="1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位置</w:t>
            </w:r>
          </w:p>
        </w:tc>
        <w:tc>
          <w:tcPr>
            <w:tcW w:type="dxa" w:w="3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RoPE/位置编码、缩放、offset、最大长度</w:t>
            </w:r>
          </w:p>
        </w:tc>
        <w:tc>
          <w:tcPr>
            <w:tcW w:type="dxa" w:w="30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保存规范化配置哈希</w:t>
            </w:r>
          </w:p>
        </w:tc>
        <w:tc>
          <w:tcPr>
            <w:tcW w:type="dxa" w:w="15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r>
        <w:trPr>
          <w:cantSplit/>
        </w:trPr>
        <w:tc>
          <w:tcPr>
            <w:tcW w:type="dxa" w:w="1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注意力</w:t>
            </w:r>
          </w:p>
        </w:tc>
        <w:tc>
          <w:tcPr>
            <w:tcW w:type="dxa" w:w="3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GQA/MLA/DSA/Hybrid、层级布局</w:t>
            </w:r>
          </w:p>
        </w:tc>
        <w:tc>
          <w:tcPr>
            <w:tcW w:type="dxa" w:w="30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attention_type + layout_version</w:t>
            </w:r>
          </w:p>
        </w:tc>
        <w:tc>
          <w:tcPr>
            <w:tcW w:type="dxa" w:w="15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r>
        <w:trPr>
          <w:cantSplit/>
        </w:trPr>
        <w:tc>
          <w:tcPr>
            <w:tcW w:type="dxa" w:w="1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数值</w:t>
            </w:r>
          </w:p>
        </w:tc>
        <w:tc>
          <w:tcPr>
            <w:tcW w:type="dxa" w:w="3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KV dtype、量化格式、Scale/Zero-point方案</w:t>
            </w:r>
          </w:p>
        </w:tc>
        <w:tc>
          <w:tcPr>
            <w:tcW w:type="dxa" w:w="30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保存格式版本</w:t>
            </w:r>
          </w:p>
        </w:tc>
        <w:tc>
          <w:tcPr>
            <w:tcW w:type="dxa" w:w="15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r>
        <w:trPr>
          <w:cantSplit/>
        </w:trPr>
        <w:tc>
          <w:tcPr>
            <w:tcW w:type="dxa" w:w="1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执行</w:t>
            </w:r>
          </w:p>
        </w:tc>
        <w:tc>
          <w:tcPr>
            <w:tcW w:type="dxa" w:w="3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引擎、版本、内核、TP/PP/DP布局</w:t>
            </w:r>
          </w:p>
        </w:tc>
        <w:tc>
          <w:tcPr>
            <w:tcW w:type="dxa" w:w="30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保存run_config_id</w:t>
            </w:r>
          </w:p>
        </w:tc>
        <w:tc>
          <w:tcPr>
            <w:tcW w:type="dxa" w:w="15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r>
        <w:trPr>
          <w:cantSplit/>
        </w:trPr>
        <w:tc>
          <w:tcPr>
            <w:tcW w:type="dxa" w:w="1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安全</w:t>
            </w:r>
          </w:p>
        </w:tc>
        <w:tc>
          <w:tcPr>
            <w:tcW w:type="dxa" w:w="3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租户/项目安全域与授权范围</w:t>
            </w:r>
          </w:p>
        </w:tc>
        <w:tc>
          <w:tcPr>
            <w:tcW w:type="dxa" w:w="30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只保存假名化scope_id</w:t>
            </w:r>
          </w:p>
        </w:tc>
        <w:tc>
          <w:tcPr>
            <w:tcW w:type="dxa" w:w="152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3.2 推荐分阶段范围</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620"/>
        <w:gridCol w:w="2580"/>
        <w:gridCol w:w="2580"/>
        <w:gridCol w:w="2580"/>
      </w:tblGrid>
      <w:tr>
        <w:trPr>
          <w:tblHeader w:val="true"/>
          <w:cantSplit/>
        </w:trPr>
        <w:tc>
          <w:tcPr>
            <w:tcW w:type="dxa" w:w="162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能力维度</w:t>
            </w:r>
          </w:p>
        </w:tc>
        <w:tc>
          <w:tcPr>
            <w:tcW w:type="dxa" w:w="258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A. 正确性基线</w:t>
            </w:r>
          </w:p>
        </w:tc>
        <w:tc>
          <w:tcPr>
            <w:tcW w:type="dxa" w:w="258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B. 分层系统</w:t>
            </w:r>
          </w:p>
        </w:tc>
        <w:tc>
          <w:tcPr>
            <w:tcW w:type="dxa" w:w="258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C. 研究扩展</w:t>
            </w:r>
          </w:p>
        </w:tc>
      </w:tr>
      <w:tr>
        <w:trPr>
          <w:cantSplit/>
        </w:trPr>
        <w:tc>
          <w:tcPr>
            <w:tcW w:type="dxa" w:w="16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模型/架构</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单一GQA模型</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增加第二模型或MLA</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DSA/Hybrid/多模型</w:t>
            </w:r>
          </w:p>
        </w:tc>
      </w:tr>
      <w:tr>
        <w:trPr>
          <w:cantSplit/>
        </w:trPr>
        <w:tc>
          <w:tcPr>
            <w:tcW w:type="dxa" w:w="16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数值格式</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FP16或BF16</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FP8或传输编码</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FP4/INT4/TensorQuant</w:t>
            </w:r>
          </w:p>
        </w:tc>
      </w:tr>
      <w:tr>
        <w:trPr>
          <w:cantSplit/>
        </w:trPr>
        <w:tc>
          <w:tcPr>
            <w:tcW w:type="dxa" w:w="16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复用算法</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精确前缀</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布局规范化、增量失效</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受控非前缀融合</w:t>
            </w:r>
          </w:p>
        </w:tc>
      </w:tr>
      <w:tr>
        <w:trPr>
          <w:cantSplit/>
        </w:trPr>
        <w:tc>
          <w:tcPr>
            <w:tcW w:type="dxa" w:w="16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存储层级</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HBM + DRAM</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加入本地NVMe</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远端共享存储</w:t>
            </w:r>
          </w:p>
        </w:tc>
      </w:tr>
      <w:tr>
        <w:trPr>
          <w:cantSplit/>
        </w:trPr>
        <w:tc>
          <w:tcPr>
            <w:tcW w:type="dxa" w:w="16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共享范围</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单安全域、任务/会话内</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同仓库跨会话</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经审批的跨租户公共内容</w:t>
            </w:r>
          </w:p>
        </w:tc>
      </w:tr>
      <w:tr>
        <w:trPr>
          <w:cantSplit/>
        </w:trPr>
        <w:tc>
          <w:tcPr>
            <w:tcW w:type="dxa" w:w="16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调度</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同步读取、收益判断</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预取、准入、价值淘汰</w:t>
            </w:r>
          </w:p>
        </w:tc>
        <w:tc>
          <w:tcPr>
            <w:tcW w:type="dxa" w:w="258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多节点协同调度</w:t>
            </w:r>
          </w:p>
        </w:tc>
      </w:tr>
    </w:tbl>
    <w:p>
      <w:pPr>
        <w:spacing w:before="0" w:after="40" w:line="240" w:lineRule="auto"/>
      </w:pPr>
      <w:r>
        <w:rPr>
          <w:rFonts w:ascii="Calibri" w:hAnsi="Calibri" w:eastAsia="Noto Sans CJK SC"/>
          <w:sz w:val="2"/>
        </w:rPr>
      </w:r>
    </w:p>
    <w:p>
      <w:pPr>
        <w:pStyle w:val="Heading1"/>
        <w:keepNext/>
        <w:keepLines/>
      </w:pPr>
      <w:r>
        <w:rPr>
          <w:rFonts w:ascii="Calibri" w:hAnsi="Calibri" w:eastAsia="Noto Sans CJK SC"/>
          <w:b/>
          <w:color w:val="2E74B5"/>
          <w:sz w:val="32"/>
        </w:rPr>
        <w:t>4. 基线与对比协议</w:t>
      </w:r>
    </w:p>
    <w:p>
      <w:pPr>
        <w:pStyle w:val="Heading2"/>
        <w:keepNext/>
        <w:keepLines/>
      </w:pPr>
      <w:r>
        <w:rPr>
          <w:rFonts w:ascii="Calibri" w:hAnsi="Calibri" w:eastAsia="Noto Sans CJK SC"/>
          <w:b/>
          <w:color w:val="2E74B5"/>
          <w:sz w:val="26"/>
        </w:rPr>
        <w:t>4.1 基线组</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720"/>
        <w:gridCol w:w="2050"/>
        <w:gridCol w:w="2360"/>
        <w:gridCol w:w="2920"/>
        <w:gridCol w:w="1310"/>
      </w:tblGrid>
      <w:tr>
        <w:trPr>
          <w:tblHeader w:val="true"/>
          <w:cantSplit/>
        </w:trPr>
        <w:tc>
          <w:tcPr>
            <w:tcW w:type="dxa" w:w="72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7"/>
              </w:rPr>
              <w:t>ID</w:t>
            </w:r>
          </w:p>
        </w:tc>
        <w:tc>
          <w:tcPr>
            <w:tcW w:type="dxa" w:w="205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配置</w:t>
            </w:r>
          </w:p>
        </w:tc>
        <w:tc>
          <w:tcPr>
            <w:tcW w:type="dxa" w:w="23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目的</w:t>
            </w:r>
          </w:p>
        </w:tc>
        <w:tc>
          <w:tcPr>
            <w:tcW w:type="dxa" w:w="292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必须固定</w:t>
            </w:r>
          </w:p>
        </w:tc>
        <w:tc>
          <w:tcPr>
            <w:tcW w:type="dxa" w:w="131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进入条件</w:t>
            </w:r>
          </w:p>
        </w:tc>
      </w:tr>
      <w:tr>
        <w:trPr>
          <w:cantSplit/>
        </w:trPr>
        <w:tc>
          <w:tcPr>
            <w:tcW w:type="dxa" w:w="7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B0</w:t>
            </w:r>
          </w:p>
        </w:tc>
        <w:tc>
          <w:tcPr>
            <w:tcW w:type="dxa" w:w="2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缓存复用关闭</w:t>
            </w:r>
          </w:p>
        </w:tc>
        <w:tc>
          <w:tcPr>
            <w:tcW w:type="dxa" w:w="23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无缓存直接计算基线</w:t>
            </w:r>
          </w:p>
        </w:tc>
        <w:tc>
          <w:tcPr>
            <w:tcW w:type="dxa" w:w="29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模型、引擎、内核、批处理与Prompt</w:t>
            </w:r>
          </w:p>
        </w:tc>
        <w:tc>
          <w:tcPr>
            <w:tcW w:type="dxa" w:w="13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P0冻结</w:t>
            </w:r>
          </w:p>
        </w:tc>
      </w:tr>
      <w:tr>
        <w:trPr>
          <w:cantSplit/>
        </w:trPr>
        <w:tc>
          <w:tcPr>
            <w:tcW w:type="dxa" w:w="7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B1</w:t>
            </w:r>
          </w:p>
        </w:tc>
        <w:tc>
          <w:tcPr>
            <w:tcW w:type="dxa" w:w="2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引擎原生精确前缀缓存</w:t>
            </w:r>
          </w:p>
        </w:tc>
        <w:tc>
          <w:tcPr>
            <w:tcW w:type="dxa" w:w="23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公开/现有实现基线</w:t>
            </w:r>
          </w:p>
        </w:tc>
        <w:tc>
          <w:tcPr>
            <w:tcW w:type="dxa" w:w="29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与B0同构，仅启用缓存</w:t>
            </w:r>
          </w:p>
        </w:tc>
        <w:tc>
          <w:tcPr>
            <w:tcW w:type="dxa" w:w="13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输出一致</w:t>
            </w:r>
          </w:p>
        </w:tc>
      </w:tr>
      <w:tr>
        <w:trPr>
          <w:cantSplit/>
        </w:trPr>
        <w:tc>
          <w:tcPr>
            <w:tcW w:type="dxa" w:w="7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B2</w:t>
            </w:r>
          </w:p>
        </w:tc>
        <w:tc>
          <w:tcPr>
            <w:tcW w:type="dxa" w:w="2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项目精确前缀 + HBM/DRAM</w:t>
            </w:r>
          </w:p>
        </w:tc>
        <w:tc>
          <w:tcPr>
            <w:tcW w:type="dxa" w:w="23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项目MVP基线</w:t>
            </w:r>
          </w:p>
        </w:tc>
        <w:tc>
          <w:tcPr>
            <w:tcW w:type="dxa" w:w="29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缓存键、容量和层级策略</w:t>
            </w:r>
          </w:p>
        </w:tc>
        <w:tc>
          <w:tcPr>
            <w:tcW w:type="dxa" w:w="13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事件可观测</w:t>
            </w:r>
          </w:p>
        </w:tc>
      </w:tr>
      <w:tr>
        <w:trPr>
          <w:cantSplit/>
        </w:trPr>
        <w:tc>
          <w:tcPr>
            <w:tcW w:type="dxa" w:w="7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B3</w:t>
            </w:r>
          </w:p>
        </w:tc>
        <w:tc>
          <w:tcPr>
            <w:tcW w:type="dxa" w:w="2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项目分层HBM/DRAM/NVMe</w:t>
            </w:r>
          </w:p>
        </w:tc>
        <w:tc>
          <w:tcPr>
            <w:tcW w:type="dxa" w:w="23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大容量系统对比</w:t>
            </w:r>
          </w:p>
        </w:tc>
        <w:tc>
          <w:tcPr>
            <w:tcW w:type="dxa" w:w="29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预取、准入、淘汰与带宽</w:t>
            </w:r>
          </w:p>
        </w:tc>
        <w:tc>
          <w:tcPr>
            <w:tcW w:type="dxa" w:w="13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B2稳定</w:t>
            </w:r>
          </w:p>
        </w:tc>
      </w:tr>
      <w:tr>
        <w:trPr>
          <w:cantSplit/>
        </w:trPr>
        <w:tc>
          <w:tcPr>
            <w:tcW w:type="dxa" w:w="7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R1</w:t>
            </w:r>
          </w:p>
        </w:tc>
        <w:tc>
          <w:tcPr>
            <w:tcW w:type="dxa" w:w="2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布局规范化/固定排序</w:t>
            </w:r>
          </w:p>
        </w:tc>
        <w:tc>
          <w:tcPr>
            <w:tcW w:type="dxa" w:w="23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命中算法消融</w:t>
            </w:r>
          </w:p>
        </w:tc>
        <w:tc>
          <w:tcPr>
            <w:tcW w:type="dxa" w:w="29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内容集合不变，只改变布局</w:t>
            </w:r>
          </w:p>
        </w:tc>
        <w:tc>
          <w:tcPr>
            <w:tcW w:type="dxa" w:w="13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B2稳定</w:t>
            </w:r>
          </w:p>
        </w:tc>
      </w:tr>
      <w:tr>
        <w:trPr>
          <w:cantSplit/>
        </w:trPr>
        <w:tc>
          <w:tcPr>
            <w:tcW w:type="dxa" w:w="72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R2</w:t>
            </w:r>
          </w:p>
        </w:tc>
        <w:tc>
          <w:tcPr>
            <w:tcW w:type="dxa" w:w="20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非前缀/低精度方案</w:t>
            </w:r>
          </w:p>
        </w:tc>
        <w:tc>
          <w:tcPr>
            <w:tcW w:type="dxa" w:w="23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论文研究对比</w:t>
            </w:r>
          </w:p>
        </w:tc>
        <w:tc>
          <w:tcPr>
            <w:tcW w:type="dxa" w:w="29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独立正确性与质量阈值</w:t>
            </w:r>
          </w:p>
        </w:tc>
        <w:tc>
          <w:tcPr>
            <w:tcW w:type="dxa" w:w="13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单独审批</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4.2 配对实验原则</w:t>
      </w:r>
    </w:p>
    <w:p>
      <w:pPr>
        <w:keepLines/>
        <w:spacing w:before="0" w:after="160" w:line="280" w:lineRule="auto"/>
        <w:numPr>
          <w:ilvl w:val="0"/>
          <w:numId w:val="10"/>
        </w:numPr>
      </w:pPr>
      <w:r>
        <w:rPr>
          <w:rFonts w:ascii="Calibri" w:hAnsi="Calibri" w:eastAsia="Noto Sans CJK SC"/>
          <w:color w:val="1F2937"/>
          <w:sz w:val="21"/>
        </w:rPr>
        <w:t>同一Trace按相同请求顺序、相同随机种子和相同模型配置回放；基线与缓存方案只改变被研究的变量。</w:t>
      </w:r>
    </w:p>
    <w:p>
      <w:pPr>
        <w:keepLines/>
        <w:spacing w:before="0" w:after="160" w:line="280" w:lineRule="auto"/>
        <w:numPr>
          <w:ilvl w:val="0"/>
          <w:numId w:val="10"/>
        </w:numPr>
      </w:pPr>
      <w:r>
        <w:rPr>
          <w:rFonts w:ascii="Calibri" w:hAnsi="Calibri" w:eastAsia="Noto Sans CJK SC"/>
          <w:color w:val="1F2937"/>
          <w:sz w:val="21"/>
        </w:rPr>
        <w:t>每组先完成固定次数预热，再执行正式重复；冷启动结果作为独立切片保留，不得被预热结果覆盖。</w:t>
      </w:r>
    </w:p>
    <w:p>
      <w:pPr>
        <w:keepLines/>
        <w:spacing w:before="0" w:after="160" w:line="280" w:lineRule="auto"/>
        <w:numPr>
          <w:ilvl w:val="0"/>
          <w:numId w:val="10"/>
        </w:numPr>
      </w:pPr>
      <w:r>
        <w:rPr>
          <w:rFonts w:ascii="Calibri" w:hAnsi="Calibri" w:eastAsia="Noto Sans CJK SC"/>
          <w:color w:val="1F2937"/>
          <w:sz w:val="21"/>
        </w:rPr>
        <w:t>记录GPU频率/功耗策略、并发、批处理、张量并行、网络负载和缓存初始状态。</w:t>
      </w:r>
    </w:p>
    <w:p>
      <w:pPr>
        <w:keepLines/>
        <w:spacing w:before="0" w:after="160" w:line="280" w:lineRule="auto"/>
        <w:numPr>
          <w:ilvl w:val="0"/>
          <w:numId w:val="10"/>
        </w:numPr>
      </w:pPr>
      <w:r>
        <w:rPr>
          <w:rFonts w:ascii="Calibri" w:hAnsi="Calibri" w:eastAsia="Noto Sans CJK SC"/>
          <w:color w:val="1F2937"/>
          <w:sz w:val="21"/>
        </w:rPr>
        <w:t>出现错误、超时或降级时保留记录并按预先规则归类；不得只统计成功请求。</w:t>
      </w:r>
    </w:p>
    <w:p>
      <w:pPr>
        <w:pStyle w:val="Heading1"/>
        <w:keepNext/>
        <w:keepLines/>
      </w:pPr>
      <w:r>
        <w:rPr>
          <w:rFonts w:ascii="Calibri" w:hAnsi="Calibri" w:eastAsia="Noto Sans CJK SC"/>
          <w:b/>
          <w:color w:val="2E74B5"/>
          <w:sz w:val="32"/>
        </w:rPr>
        <w:t>5. 技术指标定义与候选验收目标</w:t>
      </w:r>
    </w:p>
    <w:p>
      <w:pPr>
        <w:pStyle w:val="Heading2"/>
        <w:keepNext/>
        <w:keepLines/>
      </w:pPr>
      <w:r>
        <w:rPr>
          <w:rFonts w:ascii="Calibri" w:hAnsi="Calibri" w:eastAsia="Noto Sans CJK SC"/>
          <w:b/>
          <w:color w:val="2E74B5"/>
          <w:sz w:val="26"/>
        </w:rPr>
        <w:t>5.1 变量与计数规则</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930"/>
        <w:gridCol w:w="3570"/>
        <w:gridCol w:w="4860"/>
      </w:tblGrid>
      <w:tr>
        <w:trPr>
          <w:tblHeader w:val="true"/>
          <w:cantSplit/>
        </w:trPr>
        <w:tc>
          <w:tcPr>
            <w:tcW w:type="dxa" w:w="93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符号</w:t>
            </w:r>
          </w:p>
        </w:tc>
        <w:tc>
          <w:tcPr>
            <w:tcW w:type="dxa" w:w="357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定义</w:t>
            </w:r>
          </w:p>
        </w:tc>
        <w:tc>
          <w:tcPr>
            <w:tcW w:type="dxa" w:w="48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计数规则</w:t>
            </w:r>
          </w:p>
        </w:tc>
      </w:tr>
      <w:tr>
        <w:trPr>
          <w:cantSplit/>
        </w:trPr>
        <w:tc>
          <w:tcPr>
            <w:tcW w:type="dxa" w:w="9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N</w:t>
            </w:r>
          </w:p>
        </w:tc>
        <w:tc>
          <w:tcPr>
            <w:tcW w:type="dxa" w:w="357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统计窗口内请求数</w:t>
            </w:r>
          </w:p>
        </w:tc>
        <w:tc>
          <w:tcPr>
            <w:tcW w:type="dxa" w:w="4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包含成功、失败、超时和按策略绕过的请求，另行分组</w:t>
            </w:r>
          </w:p>
        </w:tc>
      </w:tr>
      <w:tr>
        <w:trPr>
          <w:cantSplit/>
        </w:trPr>
        <w:tc>
          <w:tcPr>
            <w:tcW w:type="dxa" w:w="9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P_i</w:t>
            </w:r>
          </w:p>
        </w:tc>
        <w:tc>
          <w:tcPr>
            <w:tcW w:type="dxa" w:w="357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第i个请求实际进入Prefill的Prompt Token数</w:t>
            </w:r>
          </w:p>
        </w:tc>
        <w:tc>
          <w:tcPr>
            <w:tcW w:type="dxa" w:w="4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含模型实际消费的特殊Token，不含生成Token</w:t>
            </w:r>
          </w:p>
        </w:tc>
      </w:tr>
      <w:tr>
        <w:trPr>
          <w:cantSplit/>
        </w:trPr>
        <w:tc>
          <w:tcPr>
            <w:tcW w:type="dxa" w:w="9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L_i</w:t>
            </w:r>
          </w:p>
        </w:tc>
        <w:tc>
          <w:tcPr>
            <w:tcW w:type="dxa" w:w="357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逻辑命中Token数</w:t>
            </w:r>
          </w:p>
        </w:tc>
        <w:tc>
          <w:tcPr>
            <w:tcW w:type="dxa" w:w="4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因缓存复用而跳过Prefill计算的Token；跨层不重复计数</w:t>
            </w:r>
          </w:p>
        </w:tc>
      </w:tr>
      <w:tr>
        <w:trPr>
          <w:cantSplit/>
        </w:trPr>
        <w:tc>
          <w:tcPr>
            <w:tcW w:type="dxa" w:w="9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E_i</w:t>
            </w:r>
          </w:p>
        </w:tc>
        <w:tc>
          <w:tcPr>
            <w:tcW w:type="dxa" w:w="357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有效命中Token数</w:t>
            </w:r>
          </w:p>
        </w:tc>
        <w:tc>
          <w:tcPr>
            <w:tcW w:type="dxa" w:w="4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对应缓存读取总耗时小于保存的重算耗时</w:t>
            </w:r>
          </w:p>
        </w:tc>
      </w:tr>
      <w:tr>
        <w:trPr>
          <w:cantSplit/>
        </w:trPr>
        <w:tc>
          <w:tcPr>
            <w:tcW w:type="dxa" w:w="9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N_i</w:t>
            </w:r>
          </w:p>
        </w:tc>
        <w:tc>
          <w:tcPr>
            <w:tcW w:type="dxa" w:w="357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负收益命中Token数</w:t>
            </w:r>
          </w:p>
        </w:tc>
        <w:tc>
          <w:tcPr>
            <w:tcW w:type="dxa" w:w="4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逻辑命中但读取/恢复不快于重算的Token</w:t>
            </w:r>
          </w:p>
        </w:tc>
      </w:tr>
      <w:tr>
        <w:trPr>
          <w:cantSplit/>
        </w:trPr>
        <w:tc>
          <w:tcPr>
            <w:tcW w:type="dxa" w:w="9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T_i</w:t>
            </w:r>
          </w:p>
        </w:tc>
        <w:tc>
          <w:tcPr>
            <w:tcW w:type="dxa" w:w="357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端到端TTFT</w:t>
            </w:r>
          </w:p>
        </w:tc>
        <w:tc>
          <w:tcPr>
            <w:tcW w:type="dxa" w:w="4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从推理服务接受请求到首个输出Token；另报队列和引擎内TTFT</w:t>
            </w:r>
          </w:p>
        </w:tc>
      </w:tr>
      <w:tr>
        <w:trPr>
          <w:cantSplit/>
        </w:trPr>
        <w:tc>
          <w:tcPr>
            <w:tcW w:type="dxa" w:w="93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C_i</w:t>
            </w:r>
          </w:p>
        </w:tc>
        <w:tc>
          <w:tcPr>
            <w:tcW w:type="dxa" w:w="357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端到端成本</w:t>
            </w:r>
          </w:p>
        </w:tc>
        <w:tc>
          <w:tcPr>
            <w:tcW w:type="dxa" w:w="4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GPU、CPU、内存、SSD、网络和运维按统一费率折算</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5.2 命中率</w:t>
      </w:r>
    </w:p>
    <w:p>
      <w:pPr>
        <w:keepLines/>
        <w:spacing w:before="100" w:after="160"/>
        <w:jc w:val="center"/>
      </w:pPr>
      <w:r>
        <w:rPr>
          <w:rFonts w:ascii="Calibri" w:hAnsi="Calibri" w:eastAsia="Noto Sans CJK SC"/>
          <w:i/>
          <w:color w:val="1F2937"/>
          <w:sz w:val="22"/>
        </w:rPr>
        <w:t>H</w:t>
      </w:r>
      <w:r>
        <w:rPr>
          <w:rFonts w:ascii="Calibri" w:hAnsi="Calibri" w:eastAsia="Noto Sans CJK SC"/>
          <w:i w:val="0"/>
          <w:color w:val="1F2937"/>
          <w:sz w:val="22"/>
          <w:vertAlign w:val="subscript"/>
        </w:rPr>
        <w:t>request</w:t>
      </w:r>
      <w:r>
        <w:rPr>
          <w:rFonts w:ascii="Calibri" w:hAnsi="Calibri" w:eastAsia="Noto Sans CJK SC"/>
          <w:i w:val="0"/>
          <w:color w:val="1F2937"/>
          <w:sz w:val="22"/>
        </w:rPr>
        <w:t xml:space="preserve"> = N(L_i &gt; 0) / N</w:t>
      </w:r>
    </w:p>
    <w:p>
      <w:pPr>
        <w:keepLines/>
        <w:spacing w:before="100" w:after="160"/>
        <w:jc w:val="center"/>
      </w:pPr>
      <w:r>
        <w:rPr>
          <w:rFonts w:ascii="Calibri" w:hAnsi="Calibri" w:eastAsia="Noto Sans CJK SC"/>
          <w:i/>
          <w:color w:val="1F2937"/>
          <w:sz w:val="22"/>
        </w:rPr>
        <w:t>H</w:t>
      </w:r>
      <w:r>
        <w:rPr>
          <w:rFonts w:ascii="Calibri" w:hAnsi="Calibri" w:eastAsia="Noto Sans CJK SC"/>
          <w:i w:val="0"/>
          <w:color w:val="1F2937"/>
          <w:sz w:val="22"/>
          <w:vertAlign w:val="subscript"/>
        </w:rPr>
        <w:t>token</w:t>
      </w:r>
      <w:r>
        <w:rPr>
          <w:rFonts w:ascii="Calibri" w:hAnsi="Calibri" w:eastAsia="Noto Sans CJK SC"/>
          <w:i w:val="0"/>
          <w:color w:val="1F2937"/>
          <w:sz w:val="22"/>
        </w:rPr>
        <w:t xml:space="preserve"> = Σ L_i / Σ P_i</w:t>
      </w:r>
    </w:p>
    <w:p>
      <w:pPr>
        <w:keepLines/>
        <w:spacing w:before="100" w:after="160"/>
        <w:jc w:val="center"/>
      </w:pPr>
      <w:r>
        <w:rPr>
          <w:rFonts w:ascii="Calibri" w:hAnsi="Calibri" w:eastAsia="Noto Sans CJK SC"/>
          <w:i/>
          <w:color w:val="1F2937"/>
          <w:sz w:val="22"/>
        </w:rPr>
        <w:t>H</w:t>
      </w:r>
      <w:r>
        <w:rPr>
          <w:rFonts w:ascii="Calibri" w:hAnsi="Calibri" w:eastAsia="Noto Sans CJK SC"/>
          <w:i w:val="0"/>
          <w:color w:val="1F2937"/>
          <w:sz w:val="22"/>
          <w:vertAlign w:val="subscript"/>
        </w:rPr>
        <w:t>effective</w:t>
      </w:r>
      <w:r>
        <w:rPr>
          <w:rFonts w:ascii="Calibri" w:hAnsi="Calibri" w:eastAsia="Noto Sans CJK SC"/>
          <w:i w:val="0"/>
          <w:color w:val="1F2937"/>
          <w:sz w:val="22"/>
        </w:rPr>
        <w:t xml:space="preserve"> = Σ E_i / Σ P_i</w:t>
      </w:r>
    </w:p>
    <w:p>
      <w:pPr>
        <w:keepLines/>
        <w:spacing w:before="100" w:after="160"/>
        <w:jc w:val="center"/>
      </w:pPr>
      <w:r>
        <w:rPr>
          <w:rFonts w:ascii="Calibri" w:hAnsi="Calibri" w:eastAsia="Noto Sans CJK SC"/>
          <w:i/>
          <w:color w:val="1F2937"/>
          <w:sz w:val="22"/>
        </w:rPr>
        <w:t>H</w:t>
      </w:r>
      <w:r>
        <w:rPr>
          <w:rFonts w:ascii="Calibri" w:hAnsi="Calibri" w:eastAsia="Noto Sans CJK SC"/>
          <w:i w:val="0"/>
          <w:color w:val="1F2937"/>
          <w:sz w:val="22"/>
          <w:vertAlign w:val="subscript"/>
        </w:rPr>
        <w:t>negative</w:t>
      </w:r>
      <w:r>
        <w:rPr>
          <w:rFonts w:ascii="Calibri" w:hAnsi="Calibri" w:eastAsia="Noto Sans CJK SC"/>
          <w:i w:val="0"/>
          <w:color w:val="1F2937"/>
          <w:sz w:val="22"/>
        </w:rPr>
        <w:t xml:space="preserve"> = Σ N_i / Σ L_i</w:t>
      </w:r>
    </w:p>
    <w:p>
      <w:pPr>
        <w:keepNext w:val="0"/>
        <w:spacing w:before="0" w:after="120" w:line="264" w:lineRule="auto"/>
        <w:jc w:val="left"/>
      </w:pPr>
      <w:r>
        <w:rPr>
          <w:rFonts w:ascii="Calibri" w:hAnsi="Calibri" w:eastAsia="Noto Sans CJK SC"/>
          <w:b w:val="0"/>
          <w:i w:val="0"/>
          <w:color w:val="1F2937"/>
          <w:sz w:val="21"/>
        </w:rPr>
        <w:t>主报告推荐使用H_effective；H_token用于说明算法命中，H_request仅表示请求是否发生过任何复用。各缓存层命中Token必须互斥归属，层级之和加未命中Token应等于Prompt Token总数。</w:t>
      </w:r>
    </w:p>
    <w:p>
      <w:pPr>
        <w:pStyle w:val="Heading2"/>
        <w:keepNext/>
        <w:keepLines/>
      </w:pPr>
      <w:r>
        <w:rPr>
          <w:rFonts w:ascii="Calibri" w:hAnsi="Calibri" w:eastAsia="Noto Sans CJK SC"/>
          <w:b/>
          <w:color w:val="2E74B5"/>
          <w:sz w:val="26"/>
        </w:rPr>
        <w:t>5.3 TTFT与成本</w:t>
      </w:r>
    </w:p>
    <w:p>
      <w:pPr>
        <w:keepLines/>
        <w:spacing w:before="100" w:after="160"/>
        <w:jc w:val="center"/>
      </w:pPr>
      <w:r>
        <w:rPr>
          <w:rFonts w:ascii="Calibri" w:hAnsi="Calibri" w:eastAsia="Noto Sans CJK SC"/>
          <w:i/>
          <w:color w:val="1F2937"/>
          <w:sz w:val="22"/>
        </w:rPr>
        <w:t>G</w:t>
      </w:r>
      <w:r>
        <w:rPr>
          <w:rFonts w:ascii="Calibri" w:hAnsi="Calibri" w:eastAsia="Noto Sans CJK SC"/>
          <w:i w:val="0"/>
          <w:color w:val="1F2937"/>
          <w:sz w:val="22"/>
          <w:vertAlign w:val="subscript"/>
        </w:rPr>
        <w:t>TTFT</w:t>
      </w:r>
      <w:r>
        <w:rPr>
          <w:rFonts w:ascii="Calibri" w:hAnsi="Calibri" w:eastAsia="Noto Sans CJK SC"/>
          <w:i w:val="0"/>
          <w:color w:val="1F2937"/>
          <w:sz w:val="22"/>
        </w:rPr>
        <w:t xml:space="preserve"> = (TTFT_baseline - TTFT_cache) / TTFT_baseline</w:t>
      </w:r>
    </w:p>
    <w:p>
      <w:pPr>
        <w:keepLines/>
        <w:spacing w:before="100" w:after="160"/>
        <w:jc w:val="center"/>
      </w:pPr>
      <w:r>
        <w:rPr>
          <w:rFonts w:ascii="Calibri" w:hAnsi="Calibri" w:eastAsia="Noto Sans CJK SC"/>
          <w:i/>
          <w:color w:val="1F2937"/>
          <w:sz w:val="22"/>
        </w:rPr>
        <w:t>C</w:t>
      </w:r>
      <w:r>
        <w:rPr>
          <w:rFonts w:ascii="Calibri" w:hAnsi="Calibri" w:eastAsia="Noto Sans CJK SC"/>
          <w:i w:val="0"/>
          <w:color w:val="1F2937"/>
          <w:sz w:val="22"/>
          <w:vertAlign w:val="subscript"/>
        </w:rPr>
        <w:t>ratio</w:t>
      </w:r>
      <w:r>
        <w:rPr>
          <w:rFonts w:ascii="Calibri" w:hAnsi="Calibri" w:eastAsia="Noto Sans CJK SC"/>
          <w:i w:val="0"/>
          <w:color w:val="1F2937"/>
          <w:sz w:val="22"/>
        </w:rPr>
        <w:t xml:space="preserve"> = C_cache-system / C_direct-compute</w:t>
      </w:r>
    </w:p>
    <w:p>
      <w:pPr>
        <w:keepNext w:val="0"/>
        <w:spacing w:before="0" w:after="120" w:line="264" w:lineRule="auto"/>
        <w:jc w:val="left"/>
      </w:pPr>
      <w:r>
        <w:rPr>
          <w:rFonts w:ascii="Calibri" w:hAnsi="Calibri" w:eastAsia="Noto Sans CJK SC"/>
          <w:b w:val="0"/>
          <w:i w:val="0"/>
          <w:color w:val="1F2937"/>
          <w:sz w:val="21"/>
        </w:rPr>
        <w:t>TTFT收益必须对相同请求配对计算，并同时报告绝对毫秒值。成本比需使用相同时间窗和费率，不能只比较GPU计算而忽略缓存存储、CPU、网络与运维。</w:t>
      </w:r>
    </w:p>
    <w:p>
      <w:pPr>
        <w:pStyle w:val="Heading2"/>
        <w:keepNext/>
        <w:keepLines/>
      </w:pPr>
      <w:r>
        <w:rPr>
          <w:rFonts w:ascii="Calibri" w:hAnsi="Calibri" w:eastAsia="Noto Sans CJK SC"/>
          <w:b/>
          <w:color w:val="2E74B5"/>
          <w:sz w:val="26"/>
        </w:rPr>
        <w:t>5.4 候选目标与冻结条件</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650"/>
        <w:gridCol w:w="1510"/>
        <w:gridCol w:w="1850"/>
        <w:gridCol w:w="1150"/>
        <w:gridCol w:w="2900"/>
        <w:gridCol w:w="1300"/>
      </w:tblGrid>
      <w:tr>
        <w:trPr>
          <w:tblHeader w:val="true"/>
          <w:cantSplit/>
        </w:trPr>
        <w:tc>
          <w:tcPr>
            <w:tcW w:type="dxa" w:w="65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7"/>
              </w:rPr>
              <w:t>ID</w:t>
            </w:r>
          </w:p>
        </w:tc>
        <w:tc>
          <w:tcPr>
            <w:tcW w:type="dxa" w:w="151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目标</w:t>
            </w:r>
          </w:p>
        </w:tc>
        <w:tc>
          <w:tcPr>
            <w:tcW w:type="dxa" w:w="185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主指标</w:t>
            </w:r>
          </w:p>
        </w:tc>
        <w:tc>
          <w:tcPr>
            <w:tcW w:type="dxa" w:w="115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7"/>
              </w:rPr>
              <w:t>候选值</w:t>
            </w:r>
          </w:p>
        </w:tc>
        <w:tc>
          <w:tcPr>
            <w:tcW w:type="dxa" w:w="29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冻结前必须绑定</w:t>
            </w:r>
          </w:p>
        </w:tc>
        <w:tc>
          <w:tcPr>
            <w:tcW w:type="dxa" w:w="130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7"/>
              </w:rPr>
              <w:t>状态</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M1</w:t>
            </w:r>
          </w:p>
        </w:tc>
        <w:tc>
          <w:tcPr>
            <w:tcW w:type="dxa" w:w="15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通用场景命中</w:t>
            </w:r>
          </w:p>
        </w:tc>
        <w:tc>
          <w:tcPr>
            <w:tcW w:type="dxa" w:w="18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H_effective（Token）</w:t>
            </w:r>
          </w:p>
        </w:tc>
        <w:tc>
          <w:tcPr>
            <w:tcW w:type="dxa" w:w="11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&gt;= 70%</w:t>
            </w:r>
          </w:p>
        </w:tc>
        <w:tc>
          <w:tcPr>
            <w:tcW w:type="dxa" w:w="2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数据集/分母/冷启动/容量</w:t>
            </w:r>
          </w:p>
        </w:tc>
        <w:tc>
          <w:tcPr>
            <w:tcW w:type="dxa" w:w="130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候选目标</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M2</w:t>
            </w:r>
          </w:p>
        </w:tc>
        <w:tc>
          <w:tcPr>
            <w:tcW w:type="dxa" w:w="15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Code Agent命中</w:t>
            </w:r>
          </w:p>
        </w:tc>
        <w:tc>
          <w:tcPr>
            <w:tcW w:type="dxa" w:w="18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H_effective（Token）</w:t>
            </w:r>
          </w:p>
        </w:tc>
        <w:tc>
          <w:tcPr>
            <w:tcW w:type="dxa" w:w="11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&gt;= 95%</w:t>
            </w:r>
          </w:p>
        </w:tc>
        <w:tc>
          <w:tcPr>
            <w:tcW w:type="dxa" w:w="2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任务范围/首轮/层级/变化率</w:t>
            </w:r>
          </w:p>
        </w:tc>
        <w:tc>
          <w:tcPr>
            <w:tcW w:type="dxa" w:w="130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候选目标</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M3</w:t>
            </w:r>
          </w:p>
        </w:tc>
        <w:tc>
          <w:tcPr>
            <w:tcW w:type="dxa" w:w="15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TTFT改善</w:t>
            </w:r>
          </w:p>
        </w:tc>
        <w:tc>
          <w:tcPr>
            <w:tcW w:type="dxa" w:w="18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G_TTFT + 绝对TTFT</w:t>
            </w:r>
          </w:p>
        </w:tc>
        <w:tc>
          <w:tcPr>
            <w:tcW w:type="dxa" w:w="11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&gt;= 90%</w:t>
            </w:r>
          </w:p>
        </w:tc>
        <w:tc>
          <w:tcPr>
            <w:tcW w:type="dxa" w:w="2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命中形态/P50/P95/P99/并发</w:t>
            </w:r>
          </w:p>
        </w:tc>
        <w:tc>
          <w:tcPr>
            <w:tcW w:type="dxa" w:w="130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候选目标</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M4</w:t>
            </w:r>
          </w:p>
        </w:tc>
        <w:tc>
          <w:tcPr>
            <w:tcW w:type="dxa" w:w="15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成本</w:t>
            </w:r>
          </w:p>
        </w:tc>
        <w:tc>
          <w:tcPr>
            <w:tcW w:type="dxa" w:w="18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C_ratio</w:t>
            </w:r>
          </w:p>
        </w:tc>
        <w:tc>
          <w:tcPr>
            <w:tcW w:type="dxa" w:w="11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&lt;= 10%</w:t>
            </w:r>
          </w:p>
        </w:tc>
        <w:tc>
          <w:tcPr>
            <w:tcW w:type="dxa" w:w="2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费率/利用率/存储/网络/运维</w:t>
            </w:r>
          </w:p>
        </w:tc>
        <w:tc>
          <w:tcPr>
            <w:tcW w:type="dxa" w:w="130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候选目标</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M5</w:t>
            </w:r>
          </w:p>
        </w:tc>
        <w:tc>
          <w:tcPr>
            <w:tcW w:type="dxa" w:w="15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正确性</w:t>
            </w:r>
          </w:p>
        </w:tc>
        <w:tc>
          <w:tcPr>
            <w:tcW w:type="dxa" w:w="18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精确方案输出一致</w:t>
            </w:r>
          </w:p>
        </w:tc>
        <w:tc>
          <w:tcPr>
            <w:tcW w:type="dxa" w:w="11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零不可解释回归</w:t>
            </w:r>
          </w:p>
        </w:tc>
        <w:tc>
          <w:tcPr>
            <w:tcW w:type="dxa" w:w="2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确定性设置/容差/错误分类</w:t>
            </w:r>
          </w:p>
        </w:tc>
        <w:tc>
          <w:tcPr>
            <w:tcW w:type="dxa" w:w="1300"/>
            <w:shd w:fill="EAF4EA"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推荐默认</w:t>
            </w:r>
          </w:p>
        </w:tc>
      </w:tr>
      <w:tr>
        <w:trPr>
          <w:cantSplit/>
        </w:trPr>
        <w:tc>
          <w:tcPr>
            <w:tcW w:type="dxa" w:w="65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M6</w:t>
            </w:r>
          </w:p>
        </w:tc>
        <w:tc>
          <w:tcPr>
            <w:tcW w:type="dxa" w:w="151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低精度质量</w:t>
            </w:r>
          </w:p>
        </w:tc>
        <w:tc>
          <w:tcPr>
            <w:tcW w:type="dxa" w:w="185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任务成功率 + Logit/Token指标</w:t>
            </w:r>
          </w:p>
        </w:tc>
        <w:tc>
          <w:tcPr>
            <w:tcW w:type="dxa" w:w="115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c>
          <w:tcPr>
            <w:tcW w:type="dxa" w:w="29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数据集/容差/统计功效</w:t>
            </w:r>
          </w:p>
        </w:tc>
        <w:tc>
          <w:tcPr>
            <w:tcW w:type="dxa" w:w="1300"/>
            <w:shd w:fill="FFF4CE"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待确认</w:t>
            </w:r>
          </w:p>
        </w:tc>
      </w:tr>
    </w:tbl>
    <w:p>
      <w:pPr>
        <w:spacing w:before="0" w:after="40" w:line="240" w:lineRule="auto"/>
      </w:pPr>
      <w:r>
        <w:rPr>
          <w:rFonts w:ascii="Calibri" w:hAnsi="Calibri" w:eastAsia="Noto Sans CJK SC"/>
          <w:sz w:val="2"/>
        </w:rPr>
      </w:r>
    </w:p>
    <w:p>
      <w:pPr>
        <w:spacing w:before="120" w:after="160" w:line="264" w:lineRule="auto"/>
        <w:ind w:left="115" w:right="58"/>
        <w:shd w:fill="FFF4CE" w:val="clear"/>
        <w:pBdr>
          <w:left w:val="single" w:sz="18" w:space="8" w:color="7A5A00"/>
        </w:pBdr>
      </w:pPr>
      <w:r>
        <w:rPr>
          <w:rFonts w:ascii="Calibri" w:hAnsi="Calibri" w:eastAsia="Noto Sans CJK SC"/>
          <w:b/>
          <w:color w:val="1F4D78"/>
          <w:sz w:val="20"/>
        </w:rPr>
        <w:t xml:space="preserve">禁止的口径  </w:t>
      </w:r>
      <w:r>
        <w:rPr>
          <w:rFonts w:ascii="Calibri" w:hAnsi="Calibri" w:eastAsia="Noto Sans CJK SC"/>
          <w:color w:val="1F2937"/>
          <w:sz w:val="20"/>
        </w:rPr>
        <w:t>不得以“可缓存Token”为分母对外声称95%命中；该口径可以作为算法诊断H_eligible，但主指标分母必须是验收窗口内全部Prompt Token。</w:t>
      </w:r>
    </w:p>
    <w:p>
      <w:pPr>
        <w:pStyle w:val="Heading2"/>
        <w:keepNext/>
        <w:keepLines/>
      </w:pPr>
      <w:r>
        <w:rPr>
          <w:rFonts w:ascii="Calibri" w:hAnsi="Calibri" w:eastAsia="Noto Sans CJK SC"/>
          <w:b/>
          <w:color w:val="2E74B5"/>
          <w:sz w:val="26"/>
        </w:rPr>
        <w:t>5.5 统一报告要求</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800"/>
        <w:gridCol w:w="7560"/>
      </w:tblGrid>
      <w:tr>
        <w:trPr>
          <w:tblHeader w:val="true"/>
          <w:cantSplit/>
        </w:trPr>
        <w:tc>
          <w:tcPr>
            <w:tcW w:type="dxa" w:w="18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维度</w:t>
            </w:r>
          </w:p>
        </w:tc>
        <w:tc>
          <w:tcPr>
            <w:tcW w:type="dxa" w:w="75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最低报告内容</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命中</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请求/逻辑Token/有效Token/负收益命中；HBM/DRAM/SSD/远端分层</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时延</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P50/P95/P99 TTFT、Prefill、查找、传输、恢复；按命中形态分组</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资源</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GPU时间、HBM/DRAM/SSD占用、读写字节、网络字节与带宽</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吞吐</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请求/秒、Prompt Token/秒、有效复用Token/秒；并发切片</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质量</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失败率、输出一致率、Logit误差、测试通过/补丁接受或任务成功率</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不确定性</w:t>
            </w:r>
          </w:p>
        </w:tc>
        <w:tc>
          <w:tcPr>
            <w:tcW w:type="dxa" w:w="7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样本量、数据集版本、重复次数、95%置信区间或预先约定的误差条</w:t>
            </w:r>
          </w:p>
        </w:tc>
      </w:tr>
    </w:tbl>
    <w:p>
      <w:pPr>
        <w:spacing w:before="0" w:after="40" w:line="240" w:lineRule="auto"/>
      </w:pPr>
      <w:r>
        <w:rPr>
          <w:rFonts w:ascii="Calibri" w:hAnsi="Calibri" w:eastAsia="Noto Sans CJK SC"/>
          <w:sz w:val="2"/>
        </w:rPr>
      </w:r>
    </w:p>
    <w:p>
      <w:pPr>
        <w:pStyle w:val="Heading1"/>
        <w:keepNext/>
        <w:keepLines/>
      </w:pPr>
      <w:r>
        <w:rPr>
          <w:rFonts w:ascii="Calibri" w:hAnsi="Calibri" w:eastAsia="Noto Sans CJK SC"/>
          <w:b/>
          <w:color w:val="2E74B5"/>
          <w:sz w:val="32"/>
        </w:rPr>
        <w:t>6. 实验矩阵与复现要求</w:t>
      </w:r>
    </w:p>
    <w:p>
      <w:pPr>
        <w:pStyle w:val="Heading2"/>
        <w:keepNext/>
        <w:keepLines/>
      </w:pPr>
      <w:r>
        <w:rPr>
          <w:rFonts w:ascii="Calibri" w:hAnsi="Calibri" w:eastAsia="Noto Sans CJK SC"/>
          <w:b/>
          <w:color w:val="2E74B5"/>
          <w:sz w:val="26"/>
        </w:rPr>
        <w:t>6.1 最小实验矩阵</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800"/>
        <w:gridCol w:w="3500"/>
        <w:gridCol w:w="4060"/>
      </w:tblGrid>
      <w:tr>
        <w:trPr>
          <w:tblHeader w:val="true"/>
          <w:cantSplit/>
        </w:trPr>
        <w:tc>
          <w:tcPr>
            <w:tcW w:type="dxa" w:w="18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因素</w:t>
            </w:r>
          </w:p>
        </w:tc>
        <w:tc>
          <w:tcPr>
            <w:tcW w:type="dxa" w:w="35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推荐水平</w:t>
            </w:r>
          </w:p>
        </w:tc>
        <w:tc>
          <w:tcPr>
            <w:tcW w:type="dxa" w:w="40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固定/记录内容</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上下文长度</w:t>
            </w:r>
          </w:p>
        </w:tc>
        <w:tc>
          <w:tcPr>
            <w:tcW w:type="dxa" w:w="3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按数据分位点划分至少四档</w:t>
            </w:r>
          </w:p>
        </w:tc>
        <w:tc>
          <w:tcPr>
            <w:tcW w:type="dxa" w:w="40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每档Prompt Token范围与样本量</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缓存容量</w:t>
            </w:r>
          </w:p>
        </w:tc>
        <w:tc>
          <w:tcPr>
            <w:tcW w:type="dxa" w:w="3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10% / 25% / 50% / 100%工作集，或项目方冻结值</w:t>
            </w:r>
          </w:p>
        </w:tc>
        <w:tc>
          <w:tcPr>
            <w:tcW w:type="dxa" w:w="40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每层字节预算与元数据开销</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并发</w:t>
            </w:r>
          </w:p>
        </w:tc>
        <w:tc>
          <w:tcPr>
            <w:tcW w:type="dxa" w:w="3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1 / 典型 / 峰值</w:t>
            </w:r>
          </w:p>
        </w:tc>
        <w:tc>
          <w:tcPr>
            <w:tcW w:type="dxa" w:w="40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调度、批处理、队列策略</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变化率</w:t>
            </w:r>
          </w:p>
        </w:tc>
        <w:tc>
          <w:tcPr>
            <w:tcW w:type="dxa" w:w="3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0 / 低 / 中 / 高</w:t>
            </w:r>
          </w:p>
        </w:tc>
        <w:tc>
          <w:tcPr>
            <w:tcW w:type="dxa" w:w="40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按文件或Token变化率的冻结定义</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布局</w:t>
            </w:r>
          </w:p>
        </w:tc>
        <w:tc>
          <w:tcPr>
            <w:tcW w:type="dxa" w:w="3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原始 / 规范化稳定前缀</w:t>
            </w:r>
          </w:p>
        </w:tc>
        <w:tc>
          <w:tcPr>
            <w:tcW w:type="dxa" w:w="40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内容集合、排序规则与layout_version</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存储层</w:t>
            </w:r>
          </w:p>
        </w:tc>
        <w:tc>
          <w:tcPr>
            <w:tcW w:type="dxa" w:w="3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HBM / DRAM / NVMe / 远端</w:t>
            </w:r>
          </w:p>
        </w:tc>
        <w:tc>
          <w:tcPr>
            <w:tcW w:type="dxa" w:w="40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带宽、延迟、压缩与预取</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精度</w:t>
            </w:r>
          </w:p>
        </w:tc>
        <w:tc>
          <w:tcPr>
            <w:tcW w:type="dxa" w:w="3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FP16/BF16基线；扩展FP8/更低比特</w:t>
            </w:r>
          </w:p>
        </w:tc>
        <w:tc>
          <w:tcPr>
            <w:tcW w:type="dxa" w:w="40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格式、Scale、内核和质量阈值</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6.2 每次实验必须固化的元数据</w:t>
      </w:r>
    </w:p>
    <w:p>
      <w:pPr>
        <w:keepLines/>
        <w:spacing w:before="0" w:after="160" w:line="280" w:lineRule="auto"/>
        <w:numPr>
          <w:ilvl w:val="0"/>
          <w:numId w:val="10"/>
        </w:numPr>
      </w:pPr>
      <w:r>
        <w:rPr>
          <w:rFonts w:ascii="Calibri" w:hAnsi="Calibri" w:eastAsia="Noto Sans CJK SC"/>
          <w:color w:val="1F2937"/>
          <w:sz w:val="21"/>
        </w:rPr>
        <w:t>dataset_version、split_id、trace_schema_version、prompt_layout_version和实验Git commit。</w:t>
      </w:r>
    </w:p>
    <w:p>
      <w:pPr>
        <w:keepLines/>
        <w:spacing w:before="0" w:after="160" w:line="280" w:lineRule="auto"/>
        <w:numPr>
          <w:ilvl w:val="0"/>
          <w:numId w:val="10"/>
        </w:numPr>
      </w:pPr>
      <w:r>
        <w:rPr>
          <w:rFonts w:ascii="Calibri" w:hAnsi="Calibri" w:eastAsia="Noto Sans CJK SC"/>
          <w:color w:val="1F2937"/>
          <w:sz w:val="21"/>
        </w:rPr>
        <w:t>model revision、Tokenizer revision、Adapter、attention_type、dtype、KV layout和位置编码配置。</w:t>
      </w:r>
    </w:p>
    <w:p>
      <w:pPr>
        <w:keepLines/>
        <w:spacing w:before="0" w:after="160" w:line="280" w:lineRule="auto"/>
        <w:numPr>
          <w:ilvl w:val="0"/>
          <w:numId w:val="10"/>
        </w:numPr>
      </w:pPr>
      <w:r>
        <w:rPr>
          <w:rFonts w:ascii="Calibri" w:hAnsi="Calibri" w:eastAsia="Noto Sans CJK SC"/>
          <w:color w:val="1F2937"/>
          <w:sz w:val="21"/>
        </w:rPr>
        <w:t>推理引擎与内核版本、TP/PP/DP、GPU/CPU/内存/NVMe/网络、驱动与运行时版本。</w:t>
      </w:r>
    </w:p>
    <w:p>
      <w:pPr>
        <w:keepLines/>
        <w:spacing w:before="0" w:after="160" w:line="280" w:lineRule="auto"/>
        <w:numPr>
          <w:ilvl w:val="0"/>
          <w:numId w:val="10"/>
        </w:numPr>
      </w:pPr>
      <w:r>
        <w:rPr>
          <w:rFonts w:ascii="Calibri" w:hAnsi="Calibri" w:eastAsia="Noto Sans CJK SC"/>
          <w:color w:val="1F2937"/>
          <w:sz w:val="21"/>
        </w:rPr>
        <w:t>缓存策略、各层容量、块大小、准入/淘汰/预取参数、预热规则和初始状态。</w:t>
      </w:r>
    </w:p>
    <w:p>
      <w:pPr>
        <w:keepLines/>
        <w:spacing w:before="0" w:after="160" w:line="280" w:lineRule="auto"/>
        <w:numPr>
          <w:ilvl w:val="0"/>
          <w:numId w:val="10"/>
        </w:numPr>
      </w:pPr>
      <w:r>
        <w:rPr>
          <w:rFonts w:ascii="Calibri" w:hAnsi="Calibri" w:eastAsia="Noto Sans CJK SC"/>
          <w:color w:val="1F2937"/>
          <w:sz w:val="21"/>
        </w:rPr>
        <w:t>随机种子、重复次数、超时、异常剔除规则、成本费率版本和结果校验脚本版本。</w:t>
      </w:r>
    </w:p>
    <w:p>
      <w:pPr>
        <w:pStyle w:val="Heading1"/>
        <w:keepNext/>
        <w:keepLines/>
      </w:pPr>
      <w:r>
        <w:rPr>
          <w:rFonts w:ascii="Calibri" w:hAnsi="Calibri" w:eastAsia="Noto Sans CJK SC"/>
          <w:b/>
          <w:color w:val="2E74B5"/>
          <w:sz w:val="32"/>
        </w:rPr>
        <w:t>7. Trace、隐私与可回放性</w:t>
      </w:r>
    </w:p>
    <w:p>
      <w:pPr>
        <w:pStyle w:val="Heading2"/>
        <w:keepNext/>
        <w:keepLines/>
      </w:pPr>
      <w:r>
        <w:rPr>
          <w:rFonts w:ascii="Calibri" w:hAnsi="Calibri" w:eastAsia="Noto Sans CJK SC"/>
          <w:b/>
          <w:color w:val="2E74B5"/>
          <w:sz w:val="26"/>
        </w:rPr>
        <w:t>7.1 数据保存模式</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420"/>
        <w:gridCol w:w="3420"/>
        <w:gridCol w:w="2860"/>
        <w:gridCol w:w="1660"/>
      </w:tblGrid>
      <w:tr>
        <w:trPr>
          <w:tblHeader w:val="true"/>
          <w:cantSplit/>
        </w:trPr>
        <w:tc>
          <w:tcPr>
            <w:tcW w:type="dxa" w:w="142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模式</w:t>
            </w:r>
          </w:p>
        </w:tc>
        <w:tc>
          <w:tcPr>
            <w:tcW w:type="dxa" w:w="342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保存内容</w:t>
            </w:r>
          </w:p>
        </w:tc>
        <w:tc>
          <w:tcPr>
            <w:tcW w:type="dxa" w:w="28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能力</w:t>
            </w:r>
          </w:p>
        </w:tc>
        <w:tc>
          <w:tcPr>
            <w:tcW w:type="dxa" w:w="16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适用性</w:t>
            </w:r>
          </w:p>
        </w:tc>
      </w:tr>
      <w:tr>
        <w:trPr>
          <w:cantSplit/>
        </w:trPr>
        <w:tc>
          <w:tcPr>
            <w:tcW w:type="dxa" w:w="14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M0 元数据</w:t>
            </w:r>
          </w:p>
        </w:tc>
        <w:tc>
          <w:tcPr>
            <w:tcW w:type="dxa" w:w="34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计数、边界、哈希、时延、配置</w:t>
            </w:r>
          </w:p>
        </w:tc>
        <w:tc>
          <w:tcPr>
            <w:tcW w:type="dxa" w:w="2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可做统计，不可完整回放</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低风险初筛</w:t>
            </w:r>
          </w:p>
        </w:tc>
      </w:tr>
      <w:tr>
        <w:trPr>
          <w:cantSplit/>
        </w:trPr>
        <w:tc>
          <w:tcPr>
            <w:tcW w:type="dxa" w:w="14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M1 受控Token</w:t>
            </w:r>
          </w:p>
        </w:tc>
        <w:tc>
          <w:tcPr>
            <w:tcW w:type="dxa" w:w="34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Token ID、组件边界、加盐哈希、受限内容引用</w:t>
            </w:r>
          </w:p>
        </w:tc>
        <w:tc>
          <w:tcPr>
            <w:tcW w:type="dxa" w:w="2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可复现Token级命中；内容仍敏感</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推荐Pilot</w:t>
            </w:r>
          </w:p>
        </w:tc>
      </w:tr>
      <w:tr>
        <w:trPr>
          <w:cantSplit/>
        </w:trPr>
        <w:tc>
          <w:tcPr>
            <w:tcW w:type="dxa" w:w="14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M2 安全回放</w:t>
            </w:r>
          </w:p>
        </w:tc>
        <w:tc>
          <w:tcPr>
            <w:tcW w:type="dxa" w:w="342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加密原始Prompt/工具输出 + 全配置快照</w:t>
            </w:r>
          </w:p>
        </w:tc>
        <w:tc>
          <w:tcPr>
            <w:tcW w:type="dxa" w:w="2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可完整回放与质量验证</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仅限获批隔离环境</w:t>
            </w:r>
          </w:p>
        </w:tc>
      </w:tr>
    </w:tbl>
    <w:p>
      <w:pPr>
        <w:spacing w:before="0" w:after="40" w:line="240" w:lineRule="auto"/>
      </w:pPr>
      <w:r>
        <w:rPr>
          <w:rFonts w:ascii="Calibri" w:hAnsi="Calibri" w:eastAsia="Noto Sans CJK SC"/>
          <w:sz w:val="2"/>
        </w:rPr>
      </w:r>
    </w:p>
    <w:p>
      <w:pPr>
        <w:spacing w:before="120" w:after="160" w:line="264" w:lineRule="auto"/>
        <w:ind w:left="115" w:right="58"/>
        <w:shd w:fill="FDECEC" w:val="clear"/>
        <w:pBdr>
          <w:left w:val="single" w:sz="18" w:space="8" w:color="9B1C1C"/>
        </w:pBdr>
      </w:pPr>
      <w:r>
        <w:rPr>
          <w:rFonts w:ascii="Calibri" w:hAnsi="Calibri" w:eastAsia="Noto Sans CJK SC"/>
          <w:b/>
          <w:color w:val="1F4D78"/>
          <w:sz w:val="20"/>
        </w:rPr>
        <w:t xml:space="preserve">隐私提示  </w:t>
      </w:r>
      <w:r>
        <w:rPr>
          <w:rFonts w:ascii="Calibri" w:hAnsi="Calibri" w:eastAsia="Noto Sans CJK SC"/>
          <w:color w:val="1F2937"/>
          <w:sz w:val="20"/>
        </w:rPr>
        <w:t>Token ID、代码哈希、工具参数和文件路径仍可能泄露敏感信息。假名化、加盐、最小权限、加密、访问审计和保留期必须共同实施。</w:t>
      </w:r>
    </w:p>
    <w:p>
      <w:pPr>
        <w:pStyle w:val="Heading2"/>
        <w:keepNext/>
        <w:keepLines/>
      </w:pPr>
      <w:r>
        <w:rPr>
          <w:rFonts w:ascii="Calibri" w:hAnsi="Calibri" w:eastAsia="Noto Sans CJK SC"/>
          <w:b/>
          <w:color w:val="2E74B5"/>
          <w:sz w:val="26"/>
        </w:rPr>
        <w:t>7.2 Pilot Trace验收检查</w:t>
      </w:r>
    </w:p>
    <w:p>
      <w:pPr>
        <w:keepLines/>
        <w:spacing w:before="0" w:after="160" w:line="280" w:lineRule="auto"/>
        <w:numPr>
          <w:ilvl w:val="0"/>
          <w:numId w:val="10"/>
        </w:numPr>
      </w:pPr>
      <w:r>
        <w:rPr>
          <w:rFonts w:ascii="Calibri" w:hAnsi="Calibri" w:eastAsia="Noto Sans CJK SC"/>
          <w:color w:val="1F2937"/>
          <w:sz w:val="21"/>
        </w:rPr>
        <w:t>所有主键唯一，task/session/request/segment/event之间外键可解析，事件时间顺序单调。</w:t>
      </w:r>
    </w:p>
    <w:p>
      <w:pPr>
        <w:keepLines/>
        <w:spacing w:before="0" w:after="160" w:line="280" w:lineRule="auto"/>
        <w:numPr>
          <w:ilvl w:val="0"/>
          <w:numId w:val="10"/>
        </w:numPr>
      </w:pPr>
      <w:r>
        <w:rPr>
          <w:rFonts w:ascii="Calibri" w:hAnsi="Calibri" w:eastAsia="Noto Sans CJK SC"/>
          <w:color w:val="1F2937"/>
          <w:sz w:val="21"/>
        </w:rPr>
        <w:t>Prompt片段边界无空洞、无重叠，片段Token数之和等于request.prompt_token_count。</w:t>
      </w:r>
    </w:p>
    <w:p>
      <w:pPr>
        <w:keepLines/>
        <w:spacing w:before="0" w:after="160" w:line="280" w:lineRule="auto"/>
        <w:numPr>
          <w:ilvl w:val="0"/>
          <w:numId w:val="10"/>
        </w:numPr>
      </w:pPr>
      <w:r>
        <w:rPr>
          <w:rFonts w:ascii="Calibri" w:hAnsi="Calibri" w:eastAsia="Noto Sans CJK SC"/>
          <w:color w:val="1F2937"/>
          <w:sz w:val="21"/>
        </w:rPr>
        <w:t>各层命中Token + 未命中Token = Prompt Token；同一Token不跨层重复计数。</w:t>
      </w:r>
    </w:p>
    <w:p>
      <w:pPr>
        <w:keepLines/>
        <w:spacing w:before="0" w:after="160" w:line="280" w:lineRule="auto"/>
        <w:numPr>
          <w:ilvl w:val="0"/>
          <w:numId w:val="10"/>
        </w:numPr>
      </w:pPr>
      <w:r>
        <w:rPr>
          <w:rFonts w:ascii="Calibri" w:hAnsi="Calibri" w:eastAsia="Noto Sans CJK SC"/>
          <w:color w:val="1F2937"/>
          <w:sz w:val="21"/>
        </w:rPr>
        <w:t>所有命中事件具备cache key hash、来源请求、层级、字节、查找/传输/恢复耗时和兼容域。</w:t>
      </w:r>
    </w:p>
    <w:p>
      <w:pPr>
        <w:keepLines/>
        <w:spacing w:before="0" w:after="160" w:line="280" w:lineRule="auto"/>
        <w:numPr>
          <w:ilvl w:val="0"/>
          <w:numId w:val="10"/>
        </w:numPr>
      </w:pPr>
      <w:r>
        <w:rPr>
          <w:rFonts w:ascii="Calibri" w:hAnsi="Calibri" w:eastAsia="Noto Sans CJK SC"/>
          <w:color w:val="1F2937"/>
          <w:sz w:val="21"/>
        </w:rPr>
        <w:t>基线配对请求具有完全相同的Token序列与模型配置，且可以复现输出或预先约定的质量指标。</w:t>
      </w:r>
    </w:p>
    <w:p>
      <w:pPr>
        <w:keepLines/>
        <w:spacing w:before="0" w:after="160" w:line="280" w:lineRule="auto"/>
        <w:numPr>
          <w:ilvl w:val="0"/>
          <w:numId w:val="10"/>
        </w:numPr>
      </w:pPr>
      <w:r>
        <w:rPr>
          <w:rFonts w:ascii="Calibri" w:hAnsi="Calibri" w:eastAsia="Noto Sans CJK SC"/>
          <w:color w:val="1F2937"/>
          <w:sz w:val="21"/>
        </w:rPr>
        <w:t>敏感字段符合批准的数据模式；原始内容引用不可出现在普通分析工作簿中。</w:t>
      </w:r>
    </w:p>
    <w:p>
      <w:pPr>
        <w:pStyle w:val="Heading1"/>
        <w:keepNext/>
        <w:keepLines/>
      </w:pPr>
      <w:r>
        <w:rPr>
          <w:rFonts w:ascii="Calibri" w:hAnsi="Calibri" w:eastAsia="Noto Sans CJK SC"/>
          <w:b/>
          <w:color w:val="2E74B5"/>
          <w:sz w:val="32"/>
        </w:rPr>
        <w:t>8. 工作包、阶段门与责任</w:t>
      </w:r>
    </w:p>
    <w:p>
      <w:pPr>
        <w:pStyle w:val="Heading2"/>
        <w:keepNext/>
        <w:keepLines/>
      </w:pPr>
      <w:r>
        <w:rPr>
          <w:rFonts w:ascii="Calibri" w:hAnsi="Calibri" w:eastAsia="Noto Sans CJK SC"/>
          <w:b/>
          <w:color w:val="2E74B5"/>
          <w:sz w:val="26"/>
        </w:rPr>
        <w:t>8.1 工作包</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900"/>
        <w:gridCol w:w="2200"/>
        <w:gridCol w:w="6260"/>
      </w:tblGrid>
      <w:tr>
        <w:trPr>
          <w:tblHeader w:val="true"/>
          <w:cantSplit/>
        </w:trPr>
        <w:tc>
          <w:tcPr>
            <w:tcW w:type="dxa" w:w="90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8"/>
              </w:rPr>
              <w:t>WP</w:t>
            </w:r>
          </w:p>
        </w:tc>
        <w:tc>
          <w:tcPr>
            <w:tcW w:type="dxa" w:w="22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产出</w:t>
            </w:r>
          </w:p>
        </w:tc>
        <w:tc>
          <w:tcPr>
            <w:tcW w:type="dxa" w:w="62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完成定义</w:t>
            </w:r>
          </w:p>
        </w:tc>
      </w:tr>
      <w:tr>
        <w:trPr>
          <w:cantSplit/>
        </w:trPr>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WP1</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项目定义书</w:t>
            </w:r>
          </w:p>
        </w:tc>
        <w:tc>
          <w:tcPr>
            <w:tcW w:type="dxa" w:w="6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本文件P0项冻结并完成批准记录</w:t>
            </w:r>
          </w:p>
        </w:tc>
      </w:tr>
      <w:tr>
        <w:trPr>
          <w:cantSplit/>
        </w:trPr>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WP2</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Trace规范</w:t>
            </w:r>
          </w:p>
        </w:tc>
        <w:tc>
          <w:tcPr>
            <w:tcW w:type="dxa" w:w="6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字段模板、字典、校验规则和隐私方案可执行</w:t>
            </w:r>
          </w:p>
        </w:tc>
      </w:tr>
      <w:tr>
        <w:trPr>
          <w:cantSplit/>
        </w:trPr>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WP3</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Pilot Trace</w:t>
            </w:r>
          </w:p>
        </w:tc>
        <w:tc>
          <w:tcPr>
            <w:tcW w:type="dxa" w:w="6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覆盖典型任务，能通过一致性校验并安全回放/分析</w:t>
            </w:r>
          </w:p>
        </w:tc>
      </w:tr>
      <w:tr>
        <w:trPr>
          <w:cantSplit/>
        </w:trPr>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WP4</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Replay Harness</w:t>
            </w:r>
          </w:p>
        </w:tc>
        <w:tc>
          <w:tcPr>
            <w:tcW w:type="dxa" w:w="6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按原顺序重放并切换B0/B1/B2缓存策略</w:t>
            </w:r>
          </w:p>
        </w:tc>
      </w:tr>
      <w:tr>
        <w:trPr>
          <w:cantSplit/>
        </w:trPr>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WP5</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基线报告</w:t>
            </w:r>
          </w:p>
        </w:tc>
        <w:tc>
          <w:tcPr>
            <w:tcW w:type="dxa" w:w="6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B0/B1结果可复现，含正确性、命中、TTFT、资源与成本</w:t>
            </w:r>
          </w:p>
        </w:tc>
      </w:tr>
      <w:tr>
        <w:trPr>
          <w:cantSplit/>
        </w:trPr>
        <w:tc>
          <w:tcPr>
            <w:tcW w:type="dxa" w:w="9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WP6</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可行性报告</w:t>
            </w:r>
          </w:p>
        </w:tc>
        <w:tc>
          <w:tcPr>
            <w:tcW w:type="dxa" w:w="62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说明候选目标在何种工作负载、容量和口径下成立或不成立</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8.2 阶段门</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200"/>
        <w:gridCol w:w="2760"/>
        <w:gridCol w:w="3740"/>
        <w:gridCol w:w="1660"/>
      </w:tblGrid>
      <w:tr>
        <w:trPr>
          <w:tblHeader w:val="true"/>
          <w:cantSplit/>
        </w:trPr>
        <w:tc>
          <w:tcPr>
            <w:tcW w:type="dxa" w:w="120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8"/>
              </w:rPr>
              <w:t>Gate</w:t>
            </w:r>
          </w:p>
        </w:tc>
        <w:tc>
          <w:tcPr>
            <w:tcW w:type="dxa" w:w="27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进入条件</w:t>
            </w:r>
          </w:p>
        </w:tc>
        <w:tc>
          <w:tcPr>
            <w:tcW w:type="dxa" w:w="374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退出条件</w:t>
            </w:r>
          </w:p>
        </w:tc>
        <w:tc>
          <w:tcPr>
            <w:tcW w:type="dxa" w:w="16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批准角色</w:t>
            </w:r>
          </w:p>
        </w:tc>
      </w:tr>
      <w:tr>
        <w:trPr>
          <w:cantSplit/>
        </w:trPr>
        <w:tc>
          <w:tcPr>
            <w:tcW w:type="dxa" w:w="12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G0 定义完成</w:t>
            </w:r>
          </w:p>
        </w:tc>
        <w:tc>
          <w:tcPr>
            <w:tcW w:type="dxa" w:w="27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上一阶段报告完成</w:t>
            </w:r>
          </w:p>
        </w:tc>
        <w:tc>
          <w:tcPr>
            <w:tcW w:type="dxa" w:w="37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P0全部冻结；指标、隐私、基线获批</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项目负责人</w:t>
            </w:r>
          </w:p>
        </w:tc>
      </w:tr>
      <w:tr>
        <w:trPr>
          <w:cantSplit/>
        </w:trPr>
        <w:tc>
          <w:tcPr>
            <w:tcW w:type="dxa" w:w="12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G1 Trace就绪</w:t>
            </w:r>
          </w:p>
        </w:tc>
        <w:tc>
          <w:tcPr>
            <w:tcW w:type="dxa" w:w="27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字段模板完成</w:t>
            </w:r>
          </w:p>
        </w:tc>
        <w:tc>
          <w:tcPr>
            <w:tcW w:type="dxa" w:w="37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Pilot通过一致性和安全检查</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数据/安全/评测</w:t>
            </w:r>
          </w:p>
        </w:tc>
      </w:tr>
      <w:tr>
        <w:trPr>
          <w:cantSplit/>
        </w:trPr>
        <w:tc>
          <w:tcPr>
            <w:tcW w:type="dxa" w:w="12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G2 基线就绪</w:t>
            </w:r>
          </w:p>
        </w:tc>
        <w:tc>
          <w:tcPr>
            <w:tcW w:type="dxa" w:w="27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Replay可运行</w:t>
            </w:r>
          </w:p>
        </w:tc>
        <w:tc>
          <w:tcPr>
            <w:tcW w:type="dxa" w:w="37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B0/B1正确且可重复；测量噪声受控</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推理/评测</w:t>
            </w:r>
          </w:p>
        </w:tc>
      </w:tr>
      <w:tr>
        <w:trPr>
          <w:cantSplit/>
        </w:trPr>
        <w:tc>
          <w:tcPr>
            <w:tcW w:type="dxa" w:w="12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G3 MVP就绪</w:t>
            </w:r>
          </w:p>
        </w:tc>
        <w:tc>
          <w:tcPr>
            <w:tcW w:type="dxa" w:w="27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B2实现</w:t>
            </w:r>
          </w:p>
        </w:tc>
        <w:tc>
          <w:tcPr>
            <w:tcW w:type="dxa" w:w="37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端到端收益为正；无不可解释质量回归</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技术负责人</w:t>
            </w:r>
          </w:p>
        </w:tc>
      </w:tr>
      <w:tr>
        <w:trPr>
          <w:cantSplit/>
        </w:trPr>
        <w:tc>
          <w:tcPr>
            <w:tcW w:type="dxa" w:w="12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G4 扩展研究</w:t>
            </w:r>
          </w:p>
        </w:tc>
        <w:tc>
          <w:tcPr>
            <w:tcW w:type="dxa" w:w="27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MVP稳定</w:t>
            </w:r>
          </w:p>
        </w:tc>
        <w:tc>
          <w:tcPr>
            <w:tcW w:type="dxa" w:w="374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分层/低精度/非前缀逐项消融完成</w:t>
            </w:r>
          </w:p>
        </w:tc>
        <w:tc>
          <w:tcPr>
            <w:tcW w:type="dxa" w:w="16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项目委员会</w:t>
            </w:r>
          </w:p>
        </w:tc>
      </w:tr>
    </w:tbl>
    <w:p>
      <w:pPr>
        <w:spacing w:before="0" w:after="40" w:line="240" w:lineRule="auto"/>
      </w:pPr>
      <w:r>
        <w:rPr>
          <w:rFonts w:ascii="Calibri" w:hAnsi="Calibri" w:eastAsia="Noto Sans CJK SC"/>
          <w:sz w:val="2"/>
        </w:rPr>
      </w:r>
    </w:p>
    <w:p>
      <w:pPr>
        <w:pStyle w:val="Heading1"/>
        <w:keepNext/>
        <w:keepLines/>
      </w:pPr>
      <w:r>
        <w:rPr>
          <w:rFonts w:ascii="Calibri" w:hAnsi="Calibri" w:eastAsia="Noto Sans CJK SC"/>
          <w:b/>
          <w:color w:val="2E74B5"/>
          <w:sz w:val="32"/>
        </w:rPr>
        <w:t>9. 项目方确认页</w:t>
      </w:r>
    </w:p>
    <w:p>
      <w:pPr>
        <w:spacing w:before="120" w:after="160" w:line="264" w:lineRule="auto"/>
        <w:ind w:left="115" w:right="58"/>
        <w:shd w:fill="F4F6F9" w:val="clear"/>
        <w:pBdr>
          <w:left w:val="single" w:sz="18" w:space="8" w:color="2E74B5"/>
        </w:pBdr>
      </w:pPr>
      <w:r>
        <w:rPr>
          <w:rFonts w:ascii="Calibri" w:hAnsi="Calibri" w:eastAsia="Noto Sans CJK SC"/>
          <w:b/>
          <w:color w:val="1F4D78"/>
          <w:sz w:val="20"/>
        </w:rPr>
        <w:t xml:space="preserve">填写说明  </w:t>
      </w:r>
      <w:r>
        <w:rPr>
          <w:rFonts w:ascii="Calibri" w:hAnsi="Calibri" w:eastAsia="Noto Sans CJK SC"/>
          <w:color w:val="1F2937"/>
          <w:sz w:val="20"/>
        </w:rPr>
        <w:t>以下内容是本阶段的正式签字区。实际值填写完成后，将状态改为“已冻结”，并在版本记录中保留修改依据。</w:t>
      </w:r>
    </w:p>
    <w:p>
      <w:pPr>
        <w:pStyle w:val="Heading2"/>
        <w:keepNext/>
        <w:keepLines/>
      </w:pPr>
      <w:r>
        <w:rPr>
          <w:rFonts w:ascii="Calibri" w:hAnsi="Calibri" w:eastAsia="Noto Sans CJK SC"/>
          <w:b/>
          <w:color w:val="2E74B5"/>
          <w:sz w:val="26"/>
        </w:rPr>
        <w:t>9.1 P0最终值</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760"/>
        <w:gridCol w:w="2600"/>
        <w:gridCol w:w="3200"/>
        <w:gridCol w:w="1400"/>
        <w:gridCol w:w="1400"/>
      </w:tblGrid>
      <w:tr>
        <w:trPr>
          <w:tblHeader w:val="true"/>
          <w:cantSplit/>
        </w:trPr>
        <w:tc>
          <w:tcPr>
            <w:tcW w:type="dxa" w:w="76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7"/>
              </w:rPr>
              <w:t>ID</w:t>
            </w:r>
          </w:p>
        </w:tc>
        <w:tc>
          <w:tcPr>
            <w:tcW w:type="dxa" w:w="26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确认项</w:t>
            </w:r>
          </w:p>
        </w:tc>
        <w:tc>
          <w:tcPr>
            <w:tcW w:type="dxa" w:w="32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最终值/引用</w:t>
            </w:r>
          </w:p>
        </w:tc>
        <w:tc>
          <w:tcPr>
            <w:tcW w:type="dxa" w:w="14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责任人</w:t>
            </w:r>
          </w:p>
        </w:tc>
        <w:tc>
          <w:tcPr>
            <w:tcW w:type="dxa" w:w="14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状态/日期</w:t>
            </w:r>
          </w:p>
        </w:tc>
      </w:tr>
      <w:tr>
        <w:trPr>
          <w:cantSplit/>
        </w:trPr>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P0-01</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目标Code Agent与任务范围</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r>
      <w:tr>
        <w:trPr>
          <w:cantSplit/>
        </w:trPr>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P0-02</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模型/权重/Tokenizer/Adapter</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r>
      <w:tr>
        <w:trPr>
          <w:cantSplit/>
        </w:trPr>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P0-03</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推理引擎/版本/内核</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r>
      <w:tr>
        <w:trPr>
          <w:cantSplit/>
        </w:trPr>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P0-04</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硬件、网络与部署拓扑</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r>
      <w:tr>
        <w:trPr>
          <w:cantSplit/>
        </w:trPr>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P0-05</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Trace来源、隐私模式与保留期</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r>
      <w:tr>
        <w:trPr>
          <w:cantSplit/>
        </w:trPr>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P0-06</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验收数据集、切分与场景权重</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r>
      <w:tr>
        <w:trPr>
          <w:cantSplit/>
        </w:trPr>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P0-07</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缓存层级、容量与冷/热规则</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r>
      <w:tr>
        <w:trPr>
          <w:cantSplit/>
        </w:trPr>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P0-08</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成本费率与统计窗口</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r>
      <w:tr>
        <w:trPr>
          <w:cantSplit/>
        </w:trPr>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P0-09</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Hybrid/TensorQuant定义或不纳入</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r>
      <w:tr>
        <w:trPr>
          <w:cantSplit/>
        </w:trPr>
        <w:tc>
          <w:tcPr>
            <w:tcW w:type="dxa" w:w="76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7"/>
              </w:rPr>
              <w:t>P0-10</w:t>
            </w:r>
          </w:p>
        </w:tc>
        <w:tc>
          <w:tcPr>
            <w:tcW w:type="dxa" w:w="26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指标百分位、置信区间与异常规则</w:t>
            </w:r>
          </w:p>
        </w:tc>
        <w:tc>
          <w:tcPr>
            <w:tcW w:type="dxa" w:w="3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14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9.2 候选验收目标确认</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800"/>
        <w:gridCol w:w="2200"/>
        <w:gridCol w:w="2860"/>
        <w:gridCol w:w="2500"/>
      </w:tblGrid>
      <w:tr>
        <w:trPr>
          <w:tblHeader w:val="true"/>
          <w:cantSplit/>
        </w:trPr>
        <w:tc>
          <w:tcPr>
            <w:tcW w:type="dxa" w:w="18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目标</w:t>
            </w:r>
          </w:p>
        </w:tc>
        <w:tc>
          <w:tcPr>
            <w:tcW w:type="dxa" w:w="22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最终指标与数值</w:t>
            </w:r>
          </w:p>
        </w:tc>
        <w:tc>
          <w:tcPr>
            <w:tcW w:type="dxa" w:w="28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绑定数据集/容量/口径</w:t>
            </w:r>
          </w:p>
        </w:tc>
        <w:tc>
          <w:tcPr>
            <w:tcW w:type="dxa" w:w="25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7"/>
              </w:rPr>
              <w:t>批准意见</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通用场景命中</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2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2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 ] 通过  [ ] 条件通过  [ ] 不采用</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Code Agent命中</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2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2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 ] 通过  [ ] 条件通过  [ ] 不采用</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TTFT改善</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2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2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 ] 通过  [ ] 条件通过  [ ] 不采用</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端到端成本</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2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2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 ] 通过  [ ] 条件通过  [ ] 不采用</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正确性/质量</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28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待填写</w:t>
            </w:r>
          </w:p>
        </w:tc>
        <w:tc>
          <w:tcPr>
            <w:tcW w:type="dxa" w:w="25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7"/>
              </w:rPr>
              <w:t>[ ] 通过  [ ] 条件通过  [ ] 不采用</w:t>
            </w:r>
          </w:p>
        </w:tc>
      </w:tr>
    </w:tbl>
    <w:p>
      <w:pPr>
        <w:spacing w:before="0" w:after="40" w:line="240" w:lineRule="auto"/>
      </w:pPr>
      <w:r>
        <w:rPr>
          <w:rFonts w:ascii="Calibri" w:hAnsi="Calibri" w:eastAsia="Noto Sans CJK SC"/>
          <w:sz w:val="2"/>
        </w:rPr>
      </w:r>
    </w:p>
    <w:p>
      <w:pPr>
        <w:pStyle w:val="Heading2"/>
        <w:keepNext/>
        <w:keepLines/>
      </w:pPr>
      <w:r>
        <w:rPr>
          <w:rFonts w:ascii="Calibri" w:hAnsi="Calibri" w:eastAsia="Noto Sans CJK SC"/>
          <w:b/>
          <w:color w:val="2E74B5"/>
          <w:sz w:val="26"/>
        </w:rPr>
        <w:t>9.3 批准记录</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800"/>
        <w:gridCol w:w="1800"/>
        <w:gridCol w:w="3560"/>
        <w:gridCol w:w="2200"/>
      </w:tblGrid>
      <w:tr>
        <w:trPr>
          <w:tblHeader w:val="true"/>
          <w:cantSplit/>
        </w:trPr>
        <w:tc>
          <w:tcPr>
            <w:tcW w:type="dxa" w:w="18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角色</w:t>
            </w:r>
          </w:p>
        </w:tc>
        <w:tc>
          <w:tcPr>
            <w:tcW w:type="dxa" w:w="18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姓名</w:t>
            </w:r>
          </w:p>
        </w:tc>
        <w:tc>
          <w:tcPr>
            <w:tcW w:type="dxa" w:w="35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意见</w:t>
            </w:r>
          </w:p>
        </w:tc>
        <w:tc>
          <w:tcPr>
            <w:tcW w:type="dxa" w:w="220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签字/日期</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项目负责人</w:t>
            </w:r>
          </w:p>
        </w:tc>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待填写</w:t>
            </w:r>
          </w:p>
        </w:tc>
        <w:tc>
          <w:tcPr>
            <w:tcW w:type="dxa" w:w="3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待填写</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待填写</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算法负责人</w:t>
            </w:r>
          </w:p>
        </w:tc>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待填写</w:t>
            </w:r>
          </w:p>
        </w:tc>
        <w:tc>
          <w:tcPr>
            <w:tcW w:type="dxa" w:w="3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待填写</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待填写</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系统负责人</w:t>
            </w:r>
          </w:p>
        </w:tc>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待填写</w:t>
            </w:r>
          </w:p>
        </w:tc>
        <w:tc>
          <w:tcPr>
            <w:tcW w:type="dxa" w:w="3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待填写</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待填写</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数据与安全负责人</w:t>
            </w:r>
          </w:p>
        </w:tc>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待填写</w:t>
            </w:r>
          </w:p>
        </w:tc>
        <w:tc>
          <w:tcPr>
            <w:tcW w:type="dxa" w:w="3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待填写</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待填写</w:t>
            </w:r>
          </w:p>
        </w:tc>
      </w:tr>
      <w:tr>
        <w:trPr>
          <w:cantSplit/>
        </w:trPr>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评测负责人</w:t>
            </w:r>
          </w:p>
        </w:tc>
        <w:tc>
          <w:tcPr>
            <w:tcW w:type="dxa" w:w="18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待填写</w:t>
            </w:r>
          </w:p>
        </w:tc>
        <w:tc>
          <w:tcPr>
            <w:tcW w:type="dxa" w:w="35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待填写</w:t>
            </w:r>
          </w:p>
        </w:tc>
        <w:tc>
          <w:tcPr>
            <w:tcW w:type="dxa" w:w="220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待填写</w:t>
            </w:r>
          </w:p>
        </w:tc>
      </w:tr>
    </w:tbl>
    <w:p>
      <w:pPr>
        <w:spacing w:before="0" w:after="40" w:line="240" w:lineRule="auto"/>
      </w:pPr>
      <w:r>
        <w:rPr>
          <w:rFonts w:ascii="Calibri" w:hAnsi="Calibri" w:eastAsia="Noto Sans CJK SC"/>
          <w:sz w:val="2"/>
        </w:rPr>
      </w:r>
    </w:p>
    <w:p>
      <w:pPr>
        <w:pStyle w:val="Heading1"/>
        <w:keepNext/>
        <w:keepLines/>
      </w:pPr>
      <w:r>
        <w:rPr>
          <w:rFonts w:ascii="Calibri" w:hAnsi="Calibri" w:eastAsia="Noto Sans CJK SC"/>
          <w:b/>
          <w:color w:val="2E74B5"/>
          <w:sz w:val="32"/>
        </w:rPr>
        <w:t>附录A：指标口径快速检查清单</w:t>
      </w:r>
    </w:p>
    <w:p>
      <w:pPr>
        <w:keepLines/>
        <w:spacing w:before="0" w:after="160" w:line="280" w:lineRule="auto"/>
        <w:numPr>
          <w:ilvl w:val="0"/>
          <w:numId w:val="10"/>
        </w:numPr>
      </w:pPr>
      <w:r>
        <w:rPr>
          <w:rFonts w:ascii="Calibri" w:hAnsi="Calibri" w:eastAsia="Noto Sans CJK SC"/>
          <w:color w:val="1F2937"/>
          <w:sz w:val="21"/>
        </w:rPr>
        <w:t>[ ] 命中率分母为全部Prompt Token，而非仅可缓存Token。</w:t>
      </w:r>
    </w:p>
    <w:p>
      <w:pPr>
        <w:keepLines/>
        <w:spacing w:before="0" w:after="160" w:line="280" w:lineRule="auto"/>
        <w:numPr>
          <w:ilvl w:val="0"/>
          <w:numId w:val="10"/>
        </w:numPr>
      </w:pPr>
      <w:r>
        <w:rPr>
          <w:rFonts w:ascii="Calibri" w:hAnsi="Calibri" w:eastAsia="Noto Sans CJK SC"/>
          <w:color w:val="1F2937"/>
          <w:sz w:val="21"/>
        </w:rPr>
        <w:t>[ ] 首轮冷启动是否纳入总体值已经写明。</w:t>
      </w:r>
    </w:p>
    <w:p>
      <w:pPr>
        <w:keepLines/>
        <w:spacing w:before="0" w:after="160" w:line="280" w:lineRule="auto"/>
        <w:numPr>
          <w:ilvl w:val="0"/>
          <w:numId w:val="10"/>
        </w:numPr>
      </w:pPr>
      <w:r>
        <w:rPr>
          <w:rFonts w:ascii="Calibri" w:hAnsi="Calibri" w:eastAsia="Noto Sans CJK SC"/>
          <w:color w:val="1F2937"/>
          <w:sz w:val="21"/>
        </w:rPr>
        <w:t>[ ] HBM/DRAM/SSD/远端命中互斥且不重复计数。</w:t>
      </w:r>
    </w:p>
    <w:p>
      <w:pPr>
        <w:keepLines/>
        <w:spacing w:before="0" w:after="160" w:line="280" w:lineRule="auto"/>
        <w:numPr>
          <w:ilvl w:val="0"/>
          <w:numId w:val="10"/>
        </w:numPr>
      </w:pPr>
      <w:r>
        <w:rPr>
          <w:rFonts w:ascii="Calibri" w:hAnsi="Calibri" w:eastAsia="Noto Sans CJK SC"/>
          <w:color w:val="1F2937"/>
          <w:sz w:val="21"/>
        </w:rPr>
        <w:t>[ ] 有效命中包含查找、传输、恢复和重算估计的比较。</w:t>
      </w:r>
    </w:p>
    <w:p>
      <w:pPr>
        <w:keepLines/>
        <w:spacing w:before="0" w:after="160" w:line="280" w:lineRule="auto"/>
        <w:numPr>
          <w:ilvl w:val="0"/>
          <w:numId w:val="10"/>
        </w:numPr>
      </w:pPr>
      <w:r>
        <w:rPr>
          <w:rFonts w:ascii="Calibri" w:hAnsi="Calibri" w:eastAsia="Noto Sans CJK SC"/>
          <w:color w:val="1F2937"/>
          <w:sz w:val="21"/>
        </w:rPr>
        <w:t>[ ] TTFT起止点、队列是否包含、百分位和并发已经冻结。</w:t>
      </w:r>
    </w:p>
    <w:p>
      <w:pPr>
        <w:keepLines/>
        <w:spacing w:before="0" w:after="160" w:line="280" w:lineRule="auto"/>
        <w:numPr>
          <w:ilvl w:val="0"/>
          <w:numId w:val="10"/>
        </w:numPr>
      </w:pPr>
      <w:r>
        <w:rPr>
          <w:rFonts w:ascii="Calibri" w:hAnsi="Calibri" w:eastAsia="Noto Sans CJK SC"/>
          <w:color w:val="1F2937"/>
          <w:sz w:val="21"/>
        </w:rPr>
        <w:t>[ ] 成本包含GPU、CPU、内存、SSD、网络和运维，并引用费率版本。</w:t>
      </w:r>
    </w:p>
    <w:p>
      <w:pPr>
        <w:keepLines/>
        <w:spacing w:before="0" w:after="160" w:line="280" w:lineRule="auto"/>
        <w:numPr>
          <w:ilvl w:val="0"/>
          <w:numId w:val="10"/>
        </w:numPr>
      </w:pPr>
      <w:r>
        <w:rPr>
          <w:rFonts w:ascii="Calibri" w:hAnsi="Calibri" w:eastAsia="Noto Sans CJK SC"/>
          <w:color w:val="1F2937"/>
          <w:sz w:val="21"/>
        </w:rPr>
        <w:t>[ ] 精确前缀方案完成输出一致性验证；低精度方案单独报告质量。</w:t>
      </w:r>
    </w:p>
    <w:p>
      <w:pPr>
        <w:keepLines/>
        <w:spacing w:before="0" w:after="160" w:line="280" w:lineRule="auto"/>
        <w:numPr>
          <w:ilvl w:val="0"/>
          <w:numId w:val="10"/>
        </w:numPr>
      </w:pPr>
      <w:r>
        <w:rPr>
          <w:rFonts w:ascii="Calibri" w:hAnsi="Calibri" w:eastAsia="Noto Sans CJK SC"/>
          <w:color w:val="1F2937"/>
          <w:sz w:val="21"/>
        </w:rPr>
        <w:t>[ ] 数据集版本、切分、场景权重、缓存容量和预热规则可追溯。</w:t>
      </w:r>
    </w:p>
    <w:p>
      <w:pPr>
        <w:keepLines/>
        <w:spacing w:before="0" w:after="160" w:line="280" w:lineRule="auto"/>
        <w:numPr>
          <w:ilvl w:val="0"/>
          <w:numId w:val="10"/>
        </w:numPr>
      </w:pPr>
      <w:r>
        <w:rPr>
          <w:rFonts w:ascii="Calibri" w:hAnsi="Calibri" w:eastAsia="Noto Sans CJK SC"/>
          <w:color w:val="1F2937"/>
          <w:sz w:val="21"/>
        </w:rPr>
        <w:t>[ ] 失败、超时、绕过和负收益命中没有从总体统计中静默删除。</w:t>
      </w:r>
    </w:p>
    <w:p>
      <w:pPr>
        <w:keepLines/>
        <w:spacing w:before="0" w:after="160" w:line="280" w:lineRule="auto"/>
        <w:numPr>
          <w:ilvl w:val="0"/>
          <w:numId w:val="10"/>
        </w:numPr>
      </w:pPr>
      <w:r>
        <w:rPr>
          <w:rFonts w:ascii="Calibri" w:hAnsi="Calibri" w:eastAsia="Noto Sans CJK SC"/>
          <w:color w:val="1F2937"/>
          <w:sz w:val="21"/>
        </w:rPr>
        <w:t>[ ] 所有图表和结论可从Trace与实验配置一键重建。</w:t>
      </w:r>
    </w:p>
    <w:p>
      <w:pPr>
        <w:pStyle w:val="Heading1"/>
        <w:keepNext/>
        <w:keepLines/>
      </w:pPr>
      <w:r>
        <w:rPr>
          <w:rFonts w:ascii="Calibri" w:hAnsi="Calibri" w:eastAsia="Noto Sans CJK SC"/>
          <w:b/>
          <w:color w:val="2E74B5"/>
          <w:sz w:val="32"/>
        </w:rPr>
        <w:t>附录B：版本记录</w:t>
      </w:r>
    </w:p>
    <w:tbl>
      <w:tblPr>
        <w:tblStyle w:val="TableGrid"/>
        <w:tblW w:type="dxa" w:w="9360"/>
        <w:jc w:val="left"/>
        <w:tblLayout w:type="fixed"/>
        <w:tblLook w:firstColumn="1" w:firstRow="1" w:lastColumn="0" w:lastRow="0" w:noHBand="0" w:noVBand="1" w:val="04A0"/>
        <w:tblInd w:w="120" w:type="dxa"/>
        <w:tblBorders>
          <w:top w:val="single" w:sz="8" w:space="0" w:color="D9DEE5"/>
          <w:left w:val="single" w:sz="8" w:space="0" w:color="D9DEE5"/>
          <w:bottom w:val="single" w:sz="8" w:space="0" w:color="D9DEE5"/>
          <w:right w:val="single" w:sz="8" w:space="0" w:color="D9DEE5"/>
          <w:insideH w:val="single" w:sz="6" w:space="0" w:color="D9DEE5"/>
          <w:insideV w:val="single" w:sz="6" w:space="0" w:color="D9DEE5"/>
        </w:tblBorders>
      </w:tblPr>
      <w:tblGrid>
        <w:gridCol w:w="1200"/>
        <w:gridCol w:w="1700"/>
        <w:gridCol w:w="5060"/>
        <w:gridCol w:w="1400"/>
      </w:tblGrid>
      <w:tr>
        <w:trPr>
          <w:tblHeader w:val="true"/>
          <w:cantSplit/>
        </w:trPr>
        <w:tc>
          <w:tcPr>
            <w:tcW w:type="dxa" w:w="120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8"/>
              </w:rPr>
              <w:t>版本</w:t>
            </w:r>
          </w:p>
        </w:tc>
        <w:tc>
          <w:tcPr>
            <w:tcW w:type="dxa" w:w="170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8"/>
              </w:rPr>
              <w:t>日期</w:t>
            </w:r>
          </w:p>
        </w:tc>
        <w:tc>
          <w:tcPr>
            <w:tcW w:type="dxa" w:w="5060"/>
            <w:shd w:fill="F2F4F7" w:val="clear"/>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color w:val="1F4D78"/>
                <w:sz w:val="18"/>
              </w:rPr>
              <w:t>变更</w:t>
            </w:r>
          </w:p>
        </w:tc>
        <w:tc>
          <w:tcPr>
            <w:tcW w:type="dxa" w:w="1400"/>
            <w:shd w:fill="F2F4F7" w:val="clear"/>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color w:val="1F4D78"/>
                <w:sz w:val="18"/>
              </w:rPr>
              <w:t>状态</w:t>
            </w:r>
          </w:p>
        </w:tc>
      </w:tr>
      <w:tr>
        <w:trPr>
          <w:cantSplit/>
        </w:trPr>
        <w:tc>
          <w:tcPr>
            <w:tcW w:type="dxa" w:w="12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V1.0</w:t>
            </w:r>
          </w:p>
        </w:tc>
        <w:tc>
          <w:tcPr>
            <w:tcW w:type="dxa" w:w="17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2026-08-27</w:t>
            </w:r>
          </w:p>
        </w:tc>
        <w:tc>
          <w:tcPr>
            <w:tcW w:type="dxa" w:w="5060"/>
            <w:tcMar>
              <w:top w:w="80" w:type="dxa"/>
              <w:start w:w="120" w:type="dxa"/>
              <w:bottom w:w="80" w:type="dxa"/>
              <w:end w:w="120" w:type="dxa"/>
            </w:tcMar>
            <w:vAlign w:val="center"/>
          </w:tcPr>
          <w:p>
            <w:pPr>
              <w:keepLines/>
              <w:spacing w:before="0" w:after="0" w:line="259" w:lineRule="auto"/>
              <w:jc w:val="left"/>
            </w:pPr>
            <w:r/>
            <w:r>
              <w:rPr>
                <w:rFonts w:ascii="Calibri" w:hAnsi="Calibri" w:eastAsia="Noto Sans CJK SC"/>
                <w:b w:val="0"/>
                <w:color w:val="1F2937"/>
                <w:sz w:val="18"/>
              </w:rPr>
              <w:t>建立推荐默认方案、P0确认项、指标公式、基线协议与签字页</w:t>
            </w:r>
          </w:p>
        </w:tc>
        <w:tc>
          <w:tcPr>
            <w:tcW w:type="dxa" w:w="1400"/>
            <w:tcMar>
              <w:top w:w="80" w:type="dxa"/>
              <w:start w:w="120" w:type="dxa"/>
              <w:bottom w:w="80" w:type="dxa"/>
              <w:end w:w="120" w:type="dxa"/>
            </w:tcMar>
            <w:vAlign w:val="center"/>
          </w:tcPr>
          <w:p>
            <w:pPr>
              <w:keepLines/>
              <w:spacing w:before="0" w:after="0" w:line="259" w:lineRule="auto"/>
              <w:jc w:val="center"/>
            </w:pPr>
            <w:r/>
            <w:r>
              <w:rPr>
                <w:rFonts w:ascii="Calibri" w:hAnsi="Calibri" w:eastAsia="Noto Sans CJK SC"/>
                <w:b w:val="0"/>
                <w:color w:val="1F2937"/>
                <w:sz w:val="18"/>
              </w:rPr>
              <w:t>待项目方确认</w:t>
            </w:r>
          </w:p>
        </w:tc>
      </w:tr>
    </w:tbl>
    <w:p>
      <w:pPr>
        <w:spacing w:before="0" w:after="40" w:line="240" w:lineRule="auto"/>
      </w:pPr>
      <w:r>
        <w:rPr>
          <w:rFonts w:ascii="Calibri" w:hAnsi="Calibri" w:eastAsia="Noto Sans CJK SC"/>
          <w:sz w:val="2"/>
        </w:rPr>
      </w:r>
    </w:p>
    <w:p>
      <w:pPr>
        <w:keepNext w:val="0"/>
        <w:spacing w:before="120" w:after="0" w:line="264" w:lineRule="auto"/>
        <w:jc w:val="left"/>
      </w:pPr>
      <w:r>
        <w:rPr>
          <w:rFonts w:ascii="Calibri" w:hAnsi="Calibri" w:eastAsia="Noto Sans CJK SC"/>
          <w:b w:val="0"/>
          <w:i/>
          <w:color w:val="5B6573"/>
          <w:sz w:val="19"/>
        </w:rPr>
        <w:t>配套文件：《Code Agent Trace字段模板》V1.0。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Noto Sans CJK SC"/>
        <w:color w:val="5B6573"/>
        <w:sz w:val="17"/>
      </w:rPr>
      <w:t xml:space="preserve">项目定义与技术指标确认表  |  </w:t>
    </w:r>
    <w:r>
      <w:rPr>
        <w:rFonts w:ascii="Calibri" w:hAnsi="Calibri" w:eastAsia="Noto Sans CJK SC"/>
        <w:color w:val="5B6573"/>
        <w:sz w:val="17"/>
      </w:rPr>
      <w:fldChar w:fldCharType="begin"/>
      <w:instrText xml:space="preserve">PAGE</w:instrText>
      <w:fldChar w:fldCharType="separate"/>
      <w:t>1</w:t>
      <w:fldChar w:fldCharType="end"/>
    </w:r>
    <w:r>
      <w:rPr>
        <w:rFonts w:ascii="Calibri" w:hAnsi="Calibri" w:eastAsia="Noto Sans CJK SC"/>
        <w:color w:val="5B6573"/>
        <w:sz w:val="17"/>
      </w:rPr>
      <w:t xml:space="preserve"> / </w:t>
    </w:r>
    <w:r>
      <w:rPr>
        <w:rFonts w:ascii="Calibri" w:hAnsi="Calibri" w:eastAsia="Noto Sans CJK SC"/>
        <w:color w:val="5B6573"/>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Noto Sans CJK SC"/>
        <w:b/>
        <w:color w:val="5B6573"/>
        <w:sz w:val="17"/>
      </w:rPr>
      <w:t>STAGE 02  |  Code Agent KVCache Project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720"/>
        </w:tabs>
        <w:ind w:left="720" w:hanging="360"/>
        <w:spacing w:after="160" w:line="280" w:lineRule="auto"/>
      </w:pPr>
      <w:rPr>
        <w:rFonts w:ascii="Calibri" w:hAnsi="Calibri" w:eastAsia="Noto Sans CJK SC"/>
      </w:rPr>
    </w:lvl>
  </w:abstractNum>
  <w:num w:numId="10">
    <w:abstractNumId w:val="9"/>
  </w:num>
  <w:abstractNum w:abstractNumId="10">
    <w:multiLevelType w:val="singleLevel"/>
    <w:lvl w:ilvl="0">
      <w:start w:val="1"/>
      <w:numFmt w:val="decimal"/>
      <w:lvlText w:val="%1."/>
      <w:suff w:val="tab"/>
      <w:lvlJc w:val="left"/>
      <w:pPr>
        <w:tabs>
          <w:tab w:val="num" w:pos="720"/>
        </w:tabs>
        <w:ind w:left="720" w:hanging="360"/>
        <w:spacing w:after="160" w:line="280" w:lineRule="auto"/>
      </w:pPr>
      <w:rPr>
        <w:rFonts w:ascii="Calibri" w:hAnsi="Calibri" w:eastAsia="Noto Sans CJK SC"/>
      </w:rPr>
    </w:lvl>
  </w:abstractNum>
  <w:num w:numId="11">
    <w:abstractNumId w:val="1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Noto Sans CJK SC"/>
      <w:b w:val="0"/>
      <w:i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Noto Sans CJK SC"/>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Noto Sans CJK SC"/>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Noto Sans CJK SC"/>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Agent KVCache项目定义与技术指标确认表</dc:title>
  <dc:subject>项目定义、指标口径、Trace与阶段门控</dc:subject>
  <dc:creator>Project Research Team</dc:creator>
  <cp:keywords>Code Agent, KVCache, Trace, TTFT, Prefix Cache</cp:keywords>
  <dc:description>Stage 02 project control document</dc:description>
  <cp:lastModifiedBy/>
  <cp:revision>1</cp:revision>
  <dcterms:created xsi:type="dcterms:W3CDTF">2013-12-23T23:15:00Z</dcterms:created>
  <dcterms:modified xsi:type="dcterms:W3CDTF">2013-12-23T23:15:00Z</dcterms:modified>
  <cp:category/>
</cp:coreProperties>
</file>