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1000" w:line="240" w:lineRule="auto"/>
        <w:jc w:val="left"/>
      </w:pPr>
      <w:r>
        <w:rPr>
          <w:rFonts w:ascii="Aptos" w:hAnsi="Aptos" w:eastAsia="SimSun" w:cs="Aptos"/>
          <w:b/>
          <w:i w:val="0"/>
          <w:color w:val="5B9BD5"/>
          <w:sz w:val="19"/>
        </w:rPr>
        <w:t>STAGE 01 / RESEARCH REPORT</w:t>
      </w:r>
    </w:p>
    <w:p>
      <w:pPr>
        <w:keepNext/>
        <w:widowControl/>
        <w:spacing w:before="0" w:after="160" w:line="252" w:lineRule="auto"/>
        <w:jc w:val="left"/>
      </w:pPr>
      <w:r>
        <w:rPr>
          <w:rFonts w:ascii="Aptos" w:hAnsi="Aptos" w:eastAsia="Microsoft YaHei" w:cs="Aptos"/>
          <w:b/>
          <w:color w:val="17365D"/>
          <w:sz w:val="52"/>
        </w:rPr>
        <w:t>Code Agent工作负载与</w:t>
        <w:br/>
        <w:t>KVCache复用场景分析</w:t>
      </w:r>
    </w:p>
    <w:p>
      <w:pPr>
        <w:keepNext w:val="0"/>
        <w:widowControl/>
        <w:spacing w:before="0" w:after="360" w:line="288" w:lineRule="auto"/>
        <w:jc w:val="left"/>
      </w:pPr>
      <w:r>
        <w:rPr>
          <w:rFonts w:ascii="Aptos" w:hAnsi="Aptos" w:eastAsia="Microsoft YaHei" w:cs="Aptos"/>
          <w:color w:val="1F4E79"/>
          <w:sz w:val="27"/>
        </w:rPr>
        <w:t>软硬协同大规模KVCache系统项目 · 阶段一研究报告</w:t>
      </w:r>
    </w:p>
    <w:p>
      <w:pPr>
        <w:keepNext w:val="0"/>
        <w:widowControl/>
        <w:spacing w:before="0" w:after="400" w:line="240" w:lineRule="auto"/>
        <w:jc w:val="left"/>
        <w:pBdr>
          <w:bottom w:val="single" w:sz="18" w:space="1" w:color="5B9BD5"/>
        </w:pBdr>
      </w:pPr>
    </w:p>
    <w:p>
      <w:pPr>
        <w:keepNext w:val="0"/>
        <w:widowControl/>
        <w:spacing w:before="0" w:after="1700" w:line="348" w:lineRule="auto"/>
        <w:jc w:val="left"/>
      </w:pPr>
      <w:r>
        <w:rPr>
          <w:rFonts w:ascii="Aptos" w:hAnsi="Aptos" w:eastAsia="SimSun" w:cs="Aptos"/>
          <w:b w:val="0"/>
          <w:i w:val="0"/>
          <w:color w:val="344054"/>
          <w:sz w:val="23"/>
        </w:rPr>
        <w:t>本报告界定Code Agent的研究边界，拆解其上下文与重复计算来源，梳理KVCache复用的正确性条件、技术基线和指标口径，为后续Trace采集、原型实现与验收设计提供依据。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50"/>
        <w:gridCol w:w="7350"/>
      </w:tblGrid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ptos" w:hAnsi="Aptos" w:eastAsia="Microsoft YaHei" w:cs="Aptos"/>
                <w:b/>
                <w:color w:val="17365D"/>
                <w:sz w:val="19"/>
              </w:rPr>
              <w:t>报告版本</w:t>
            </w:r>
          </w:p>
        </w:tc>
        <w:tc>
          <w:tcPr>
            <w:tcW w:type="dxa" w:w="7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ptos" w:hAnsi="Aptos" w:eastAsia="SimSun" w:cs="Aptos"/>
                <w:color w:val="344054"/>
                <w:sz w:val="19"/>
              </w:rPr>
              <w:t>V1.0（桌面研究与项目定义稿）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ptos" w:hAnsi="Aptos" w:eastAsia="Microsoft YaHei" w:cs="Aptos"/>
                <w:b/>
                <w:color w:val="17365D"/>
                <w:sz w:val="19"/>
              </w:rPr>
              <w:t>编制日期</w:t>
            </w:r>
          </w:p>
        </w:tc>
        <w:tc>
          <w:tcPr>
            <w:tcW w:type="dxa" w:w="7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ptos" w:hAnsi="Aptos" w:eastAsia="SimSun" w:cs="Aptos"/>
                <w:color w:val="344054"/>
                <w:sz w:val="19"/>
              </w:rPr>
              <w:t>2026年8月24日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ptos" w:hAnsi="Aptos" w:eastAsia="Microsoft YaHei" w:cs="Aptos"/>
                <w:b/>
                <w:color w:val="17365D"/>
                <w:sz w:val="19"/>
              </w:rPr>
              <w:t>使用范围</w:t>
            </w:r>
          </w:p>
        </w:tc>
        <w:tc>
          <w:tcPr>
            <w:tcW w:type="dxa" w:w="7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Aptos" w:hAnsi="Aptos" w:eastAsia="SimSun" w:cs="Aptos"/>
                <w:color w:val="344054"/>
                <w:sz w:val="19"/>
              </w:rPr>
              <w:t>项目立项、技术方案、数据采集与实验设计</w:t>
            </w:r>
          </w:p>
        </w:tc>
      </w:tr>
    </w:tbl>
    <w:p>
      <w:pPr>
        <w:keepNext w:val="0"/>
        <w:widowControl/>
        <w:spacing w:before="280" w:after="0" w:line="264" w:lineRule="auto"/>
        <w:jc w:val="left"/>
      </w:pPr>
      <w:r>
        <w:rPr>
          <w:rFonts w:ascii="Aptos" w:hAnsi="Aptos" w:eastAsia="SimSun" w:cs="Aptos"/>
          <w:b w:val="0"/>
          <w:i/>
          <w:color w:val="667085"/>
          <w:sz w:val="18"/>
        </w:rPr>
        <w:t>资料状态：公开论文与官方文档已核验；项目实测数据尚未接入。</w:t>
      </w:r>
    </w:p>
    <w:p>
      <w:r>
        <w:br w:type="page"/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执行摘要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本报告将Code Agent界定为：以大语言模型为推理核心，能够读取代码仓库、调用开发工具、修改文件、运行测试，并根据观察结果循环决策的软件工程智能体系统。该定义与SWE-agent、OpenHands等研究系统以及主流Agentic Coding工具的能力边界一致。[1][3][4]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Code Agent不是一次性代码生成器。一个任务通常触发多次模型调用；后续调用会保留系统指令、工具定义、仓库规则、会话历史和相当部分代码上下文，仅追加新的工具输出、错误日志和修改结果。因此，工作负载具有“长Prompt、多轮调用、上下文大幅重叠、局部变化频繁”的特征，但公开资料并不能直接证明任何特定业务都达到90%以上重复率。该比例必须通过真实Trace测量。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700"/>
        <w:gridCol w:w="2850"/>
        <w:gridCol w:w="5850"/>
      </w:tblGrid>
      <w:tr>
        <w:trPr>
          <w:cantSplit/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编号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核心结论</w:t>
            </w:r>
          </w:p>
        </w:tc>
        <w:tc>
          <w:tcPr>
            <w:tcW w:type="dxa" w:w="5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1</w:t>
            </w:r>
          </w:p>
        </w:tc>
        <w:tc>
          <w:tcPr>
            <w:tcW w:type="dxa" w:w="28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最安全的复用对象是相同Token前缀</w:t>
            </w:r>
          </w:p>
        </w:tc>
        <w:tc>
          <w:tcPr>
            <w:tcW w:type="dxa" w:w="58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精确前缀缓存不会改变模型输出；块哈希必须包含前序Token依赖。[17]</w:t>
            </w:r>
          </w:p>
        </w:tc>
      </w:tr>
      <w:tr>
        <w:trPr>
          <w:cantSplit/>
        </w:trPr>
        <w:tc>
          <w:tcPr>
            <w:tcW w:type="dxa" w:w="7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2</w:t>
            </w:r>
          </w:p>
        </w:tc>
        <w:tc>
          <w:tcPr>
            <w:tcW w:type="dxa" w:w="2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相同文本块不等于相同KVCache</w:t>
            </w:r>
          </w:p>
        </w:tc>
        <w:tc>
          <w:tcPr>
            <w:tcW w:type="dxa" w:w="5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非前缀片段会受到前置上下文的跨注意力影响，不能仅按文本哈希直接复用。[8]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3</w:t>
            </w:r>
          </w:p>
        </w:tc>
        <w:tc>
          <w:tcPr>
            <w:tcW w:type="dxa" w:w="28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提高命中率需要上下文与缓存协同设计</w:t>
            </w:r>
          </w:p>
        </w:tc>
        <w:tc>
          <w:tcPr>
            <w:tcW w:type="dxa" w:w="58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稳定内容前置、固定排序、版本化和增量失效比单纯扩大缓存更基础。</w:t>
            </w:r>
          </w:p>
        </w:tc>
      </w:tr>
      <w:tr>
        <w:trPr>
          <w:cantSplit/>
        </w:trPr>
        <w:tc>
          <w:tcPr>
            <w:tcW w:type="dxa" w:w="7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4</w:t>
            </w:r>
          </w:p>
        </w:tc>
        <w:tc>
          <w:tcPr>
            <w:tcW w:type="dxa" w:w="2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有效命中必须同时考虑I/O收益</w:t>
            </w:r>
          </w:p>
        </w:tc>
        <w:tc>
          <w:tcPr>
            <w:tcW w:type="dxa" w:w="5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从DRAM、SSD或远端读取缓存只有快于重算时才有端到端价值。[9][10]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5</w:t>
            </w:r>
          </w:p>
        </w:tc>
        <w:tc>
          <w:tcPr>
            <w:tcW w:type="dxa" w:w="28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模型架构决定缓存表示与访问方式</w:t>
            </w:r>
          </w:p>
        </w:tc>
        <w:tc>
          <w:tcPr>
            <w:tcW w:type="dxa" w:w="58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GQA减少KV头，MLA压缩到潜向量，DSA引入稀疏访问，不能假设统一布局。[12]-[14]</w:t>
            </w:r>
          </w:p>
        </w:tc>
      </w:tr>
      <w:tr>
        <w:trPr>
          <w:cantSplit/>
        </w:trPr>
        <w:tc>
          <w:tcPr>
            <w:tcW w:type="dxa" w:w="7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6</w:t>
            </w:r>
          </w:p>
        </w:tc>
        <w:tc>
          <w:tcPr>
            <w:tcW w:type="dxa" w:w="2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95%命中率是验收目标而非既有事实</w:t>
            </w:r>
          </w:p>
        </w:tc>
        <w:tc>
          <w:tcPr>
            <w:tcW w:type="dxa" w:w="5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必须提前锁定分母、缓存层级、请求范围和是否计入负收益命中。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</w:tblBorders>
      </w:tblPr>
      <w:tblGrid>
        <w:gridCol w:w="9400"/>
      </w:tblGrid>
      <w:tr>
        <w:trPr>
          <w:cantSplit/>
        </w:trPr>
        <w:tc>
          <w:tcPr>
            <w:tcW w:type="dxa" w:w="9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FF2E1"/>
          </w:tcPr>
          <w:p>
            <w:pPr>
              <w:keepNext w:val="0"/>
              <w:widowControl/>
              <w:spacing w:before="40" w:after="40" w:line="312" w:lineRule="auto"/>
              <w:jc w:val="left"/>
            </w:pPr>
            <w:r>
              <w:rPr>
                <w:rFonts w:ascii="Aptos" w:hAnsi="Aptos" w:eastAsia="Microsoft YaHei" w:cs="Aptos"/>
                <w:b/>
                <w:color w:val="2E7D32"/>
                <w:sz w:val="21"/>
              </w:rPr>
              <w:t xml:space="preserve">阶段结论  </w:t>
            </w:r>
            <w:r>
              <w:rPr>
                <w:rFonts w:ascii="Aptos" w:hAnsi="Aptos" w:eastAsia="SimSun" w:cs="Aptos"/>
                <w:color w:val="344054"/>
                <w:sz w:val="21"/>
              </w:rPr>
              <w:t>下一步应先建立Code Agent Trace与无缓存/精确前缀基线，再决定分块、非前缀融合、分层存储和低精度格式的研究优先级。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本报告的证据等级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A级：同行评议论文或正式会议论文，用于支持核心技术结论。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B级：项目或框架官方文档，用于说明当前实现能力和可观测指标。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P级：用户提供的项目材料，用于记录立项目标；未经实验验证的数字不视为外部事实。</w:t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目录与阅读路径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850"/>
        <w:gridCol w:w="3100"/>
        <w:gridCol w:w="5450"/>
      </w:tblGrid>
      <w:tr>
        <w:trPr>
          <w:cantSplit/>
          <w:tblHeader w:val="true"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章节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主题</w:t>
            </w:r>
          </w:p>
        </w:tc>
        <w:tc>
          <w:tcPr>
            <w:tcW w:type="dxa" w:w="5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本章回答的问题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01</w:t>
            </w:r>
          </w:p>
        </w:tc>
        <w:tc>
          <w:tcPr>
            <w:tcW w:type="dxa" w:w="31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研究目的与材料范围</w:t>
            </w:r>
          </w:p>
        </w:tc>
        <w:tc>
          <w:tcPr>
            <w:tcW w:type="dxa" w:w="54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说明证据来源、适用边界与报告限制</w:t>
            </w:r>
          </w:p>
        </w:tc>
      </w:tr>
      <w:tr>
        <w:trPr>
          <w:cantSplit/>
        </w:trPr>
        <w:tc>
          <w:tcPr>
            <w:tcW w:type="dxa" w:w="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02</w:t>
            </w:r>
          </w:p>
        </w:tc>
        <w:tc>
          <w:tcPr>
            <w:tcW w:type="dxa" w:w="31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Code Agent定义与系统边界</w:t>
            </w:r>
          </w:p>
        </w:tc>
        <w:tc>
          <w:tcPr>
            <w:tcW w:type="dxa" w:w="54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回答研究对象是什么、包含什么、不包含什么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03</w:t>
            </w:r>
          </w:p>
        </w:tc>
        <w:tc>
          <w:tcPr>
            <w:tcW w:type="dxa" w:w="31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系统组成与典型任务闭环</w:t>
            </w:r>
          </w:p>
        </w:tc>
        <w:tc>
          <w:tcPr>
            <w:tcW w:type="dxa" w:w="54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拆解模型、上下文、工具、沙箱与观测</w:t>
            </w:r>
          </w:p>
        </w:tc>
      </w:tr>
      <w:tr>
        <w:trPr>
          <w:cantSplit/>
        </w:trPr>
        <w:tc>
          <w:tcPr>
            <w:tcW w:type="dxa" w:w="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04</w:t>
            </w:r>
          </w:p>
        </w:tc>
        <w:tc>
          <w:tcPr>
            <w:tcW w:type="dxa" w:w="31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上下文结构与重复计算来源</w:t>
            </w:r>
          </w:p>
        </w:tc>
        <w:tc>
          <w:tcPr>
            <w:tcW w:type="dxa" w:w="54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识别稳定、半稳定和动态内容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05</w:t>
            </w:r>
          </w:p>
        </w:tc>
        <w:tc>
          <w:tcPr>
            <w:tcW w:type="dxa" w:w="31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KVCache复用原理与正确性条件</w:t>
            </w:r>
          </w:p>
        </w:tc>
        <w:tc>
          <w:tcPr>
            <w:tcW w:type="dxa" w:w="54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区分精确前缀命中与非前缀复用</w:t>
            </w:r>
          </w:p>
        </w:tc>
      </w:tr>
      <w:tr>
        <w:trPr>
          <w:cantSplit/>
        </w:trPr>
        <w:tc>
          <w:tcPr>
            <w:tcW w:type="dxa" w:w="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06</w:t>
            </w:r>
          </w:p>
        </w:tc>
        <w:tc>
          <w:tcPr>
            <w:tcW w:type="dxa" w:w="31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Code Agent复用机会与优先级</w:t>
            </w:r>
          </w:p>
        </w:tc>
        <w:tc>
          <w:tcPr>
            <w:tcW w:type="dxa" w:w="54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把工作负载映射为可实现的技术任务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07</w:t>
            </w:r>
          </w:p>
        </w:tc>
        <w:tc>
          <w:tcPr>
            <w:tcW w:type="dxa" w:w="31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公开技术基线</w:t>
            </w:r>
          </w:p>
        </w:tc>
        <w:tc>
          <w:tcPr>
            <w:tcW w:type="dxa" w:w="54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梳理现有系统并确定对比对象</w:t>
            </w:r>
          </w:p>
        </w:tc>
      </w:tr>
      <w:tr>
        <w:trPr>
          <w:cantSplit/>
        </w:trPr>
        <w:tc>
          <w:tcPr>
            <w:tcW w:type="dxa" w:w="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08</w:t>
            </w:r>
          </w:p>
        </w:tc>
        <w:tc>
          <w:tcPr>
            <w:tcW w:type="dxa" w:w="31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架构与量化格式兼容性</w:t>
            </w:r>
          </w:p>
        </w:tc>
        <w:tc>
          <w:tcPr>
            <w:tcW w:type="dxa" w:w="54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识别GQA、MLA、DSA、Hybrid等差异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09</w:t>
            </w:r>
          </w:p>
        </w:tc>
        <w:tc>
          <w:tcPr>
            <w:tcW w:type="dxa" w:w="31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指标口径与验收建议</w:t>
            </w:r>
          </w:p>
        </w:tc>
        <w:tc>
          <w:tcPr>
            <w:tcW w:type="dxa" w:w="54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定义命中率、TTFT收益与端到端成本</w:t>
            </w:r>
          </w:p>
        </w:tc>
      </w:tr>
      <w:tr>
        <w:trPr>
          <w:cantSplit/>
        </w:trPr>
        <w:tc>
          <w:tcPr>
            <w:tcW w:type="dxa" w:w="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10</w:t>
            </w:r>
          </w:p>
        </w:tc>
        <w:tc>
          <w:tcPr>
            <w:tcW w:type="dxa" w:w="31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研究问题、假设与下一阶段</w:t>
            </w:r>
          </w:p>
        </w:tc>
        <w:tc>
          <w:tcPr>
            <w:tcW w:type="dxa" w:w="54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形成Trace采集和基线实验输入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tblBorders>
      </w:tblPr>
      <w:tblGrid>
        <w:gridCol w:w="9400"/>
      </w:tblGrid>
      <w:tr>
        <w:trPr>
          <w:cantSplit/>
        </w:trPr>
        <w:tc>
          <w:tcPr>
            <w:tcW w:type="dxa" w:w="9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FA"/>
          </w:tcPr>
          <w:p>
            <w:pPr>
              <w:keepNext w:val="0"/>
              <w:widowControl/>
              <w:spacing w:before="40" w:after="40" w:line="312" w:lineRule="auto"/>
              <w:jc w:val="left"/>
            </w:pPr>
            <w:r>
              <w:rPr>
                <w:rFonts w:ascii="Aptos" w:hAnsi="Aptos" w:eastAsia="Microsoft YaHei" w:cs="Aptos"/>
                <w:b/>
                <w:color w:val="1F4E79"/>
                <w:sz w:val="21"/>
              </w:rPr>
              <w:t xml:space="preserve">推荐阅读顺序  </w:t>
            </w:r>
            <w:r>
              <w:rPr>
                <w:rFonts w:ascii="Aptos" w:hAnsi="Aptos" w:eastAsia="SimSun" w:cs="Aptos"/>
                <w:color w:val="344054"/>
                <w:sz w:val="21"/>
              </w:rPr>
              <w:t>项目负责人优先阅读执行摘要、第6章、第9章和第10章；算法与系统研发人员应完整阅读第4至第8章。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1. 研究目的与材料范围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1.1 本阶段目标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本阶段位于正式项目定义之前，目的不是直接设计最终系统，而是建立统一研究对象和证据基础。报告需要回答四个问题：Code Agent是什么；它的请求为什么长且重复；哪些重复可以安全转化为KVCache命中；后续项目应采集什么数据并采用什么基线。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1.2 材料范围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3300"/>
        <w:gridCol w:w="460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材料类别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主要来源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在报告中的作用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项目材料</w:t>
            </w:r>
          </w:p>
        </w:tc>
        <w:tc>
          <w:tcPr>
            <w:tcW w:type="dxa" w:w="33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用户提供的项目背景、预计产出和技术指标截图</w:t>
            </w:r>
          </w:p>
        </w:tc>
        <w:tc>
          <w:tcPr>
            <w:tcW w:type="dxa" w:w="46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给出业务动机与验收目标，但不构成实测证据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Code Agent研究</w:t>
            </w:r>
          </w:p>
        </w:tc>
        <w:tc>
          <w:tcPr>
            <w:tcW w:type="dxa" w:w="33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SWE-bench、SWE-agent、OpenHands</w:t>
            </w:r>
          </w:p>
        </w:tc>
        <w:tc>
          <w:tcPr>
            <w:tcW w:type="dxa" w:w="46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界定任务复杂度、工具交互和执行环境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推理与缓存研究</w:t>
            </w:r>
          </w:p>
        </w:tc>
        <w:tc>
          <w:tcPr>
            <w:tcW w:type="dxa" w:w="33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PagedAttention、SGLang、Prompt Cache、CacheBlend</w:t>
            </w:r>
          </w:p>
        </w:tc>
        <w:tc>
          <w:tcPr>
            <w:tcW w:type="dxa" w:w="46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支持缓存管理、精确前缀和非前缀复用分析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分层与传输研究</w:t>
            </w:r>
          </w:p>
        </w:tc>
        <w:tc>
          <w:tcPr>
            <w:tcW w:type="dxa" w:w="33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Mooncake、CacheGen、LMCache、HiCache</w:t>
            </w:r>
          </w:p>
        </w:tc>
        <w:tc>
          <w:tcPr>
            <w:tcW w:type="dxa" w:w="46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支持DRAM/SSD/远端层级与传输开销分析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架构与量化研究</w:t>
            </w:r>
          </w:p>
        </w:tc>
        <w:tc>
          <w:tcPr>
            <w:tcW w:type="dxa" w:w="33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GQA、MLA、DSA、KIVI、KVQuant</w:t>
            </w:r>
          </w:p>
        </w:tc>
        <w:tc>
          <w:tcPr>
            <w:tcW w:type="dxa" w:w="46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支持缓存表示和低精度适配分析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1.3 报告限制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目前没有真实Code Agent请求Trace、推理服务器配置、目标模型清单、缓存容量和业务成本数据。因此，本报告能够给出技术边界、工作假设和实验口径，但不能证明“缓存复用率90%以上”“通用命中率70%以上”或“Code Agent命中率95%以上”已经成立。这些数字在当前阶段仅作为待验证目标。</w:t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2. Code Agent定义与系统边界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2.1 工作定义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tblBorders>
      </w:tblPr>
      <w:tblGrid>
        <w:gridCol w:w="9400"/>
      </w:tblGrid>
      <w:tr>
        <w:trPr>
          <w:cantSplit/>
        </w:trPr>
        <w:tc>
          <w:tcPr>
            <w:tcW w:type="dxa" w:w="9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FA"/>
          </w:tcPr>
          <w:p>
            <w:pPr>
              <w:keepNext w:val="0"/>
              <w:widowControl/>
              <w:spacing w:before="40" w:after="40" w:line="312" w:lineRule="auto"/>
              <w:jc w:val="left"/>
            </w:pPr>
            <w:r>
              <w:rPr>
                <w:rFonts w:ascii="Aptos" w:hAnsi="Aptos" w:eastAsia="Microsoft YaHei" w:cs="Aptos"/>
                <w:b/>
                <w:color w:val="1F4E79"/>
                <w:sz w:val="21"/>
              </w:rPr>
              <w:t xml:space="preserve">工作定义  </w:t>
            </w:r>
            <w:r>
              <w:rPr>
                <w:rFonts w:ascii="Aptos" w:hAnsi="Aptos" w:eastAsia="SimSun" w:cs="Aptos"/>
                <w:color w:val="344054"/>
                <w:sz w:val="21"/>
              </w:rPr>
              <w:t>Code Agent是以大语言模型为推理核心，能够感知代码仓库与执行环境、选择并调用开发工具、修改项目状态、验证结果并循环决策的软件工程智能体。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SWE-agent强调Agent-Computer Interface对代码导航、文件编辑和测试执行的重要性；OpenHands将软件Agent描述为能够编写代码、操作命令行并浏览信息的通用开发者式系统；Claude Code官方说明也将“读取代码库、编辑文件、运行命令并与开发工具集成”列为核心能力。[1][3][4]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2.2 与相邻概念的区别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00"/>
        <w:gridCol w:w="2800"/>
        <w:gridCol w:w="2500"/>
        <w:gridCol w:w="260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类型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核心目标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工具行动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典型上下文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代码补全</w:t>
            </w:r>
          </w:p>
        </w:tc>
        <w:tc>
          <w:tcPr>
            <w:tcW w:type="dxa" w:w="28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根据光标附近内容预测后续代码</w:t>
            </w:r>
          </w:p>
        </w:tc>
        <w:tc>
          <w:tcPr>
            <w:tcW w:type="dxa" w:w="25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通常没有</w:t>
            </w:r>
          </w:p>
        </w:tc>
        <w:tc>
          <w:tcPr>
            <w:tcW w:type="dxa" w:w="26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单文件、短上下文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代码问答助手</w:t>
            </w:r>
          </w:p>
        </w:tc>
        <w:tc>
          <w:tcPr>
            <w:tcW w:type="dxa" w:w="28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回答问题、生成或解释代码</w:t>
            </w:r>
          </w:p>
        </w:tc>
        <w:tc>
          <w:tcPr>
            <w:tcW w:type="dxa" w:w="25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有限或没有</w:t>
            </w:r>
          </w:p>
        </w:tc>
        <w:tc>
          <w:tcPr>
            <w:tcW w:type="dxa" w:w="26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用户显式提供上下文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Code Agent</w:t>
            </w:r>
          </w:p>
        </w:tc>
        <w:tc>
          <w:tcPr>
            <w:tcW w:type="dxa" w:w="28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完成仓库级软件工程目标</w:t>
            </w:r>
          </w:p>
        </w:tc>
        <w:tc>
          <w:tcPr>
            <w:tcW w:type="dxa" w:w="25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读取、搜索、编辑、命令、测试、Git等</w:t>
            </w:r>
          </w:p>
        </w:tc>
        <w:tc>
          <w:tcPr>
            <w:tcW w:type="dxa" w:w="26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多轮、长上下文、状态持续变化</w:t>
            </w:r>
          </w:p>
        </w:tc>
      </w:tr>
      <w:tr>
        <w:trPr>
          <w:cantSplit/>
        </w:trPr>
        <w:tc>
          <w:tcPr>
            <w:tcW w:type="dxa" w:w="15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LLM推理服务</w:t>
            </w:r>
          </w:p>
        </w:tc>
        <w:tc>
          <w:tcPr>
            <w:tcW w:type="dxa" w:w="28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执行模型Prefill与Decode</w:t>
            </w:r>
          </w:p>
        </w:tc>
        <w:tc>
          <w:tcPr>
            <w:tcW w:type="dxa" w:w="25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不直接操作仓库</w:t>
            </w:r>
          </w:p>
        </w:tc>
        <w:tc>
          <w:tcPr>
            <w:tcW w:type="dxa" w:w="26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Code Agent的底层计算服务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2.3 本项目纳入与排除范围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Microsoft YaHei" w:cs="Aptos"/>
          <w:b/>
          <w:i w:val="0"/>
          <w:color w:val="17365D"/>
          <w:sz w:val="21"/>
        </w:rPr>
        <w:t>纳入：</w:t>
      </w:r>
      <w:r>
        <w:rPr>
          <w:rFonts w:ascii="Aptos" w:hAnsi="Aptos" w:eastAsia="SimSun" w:cs="Aptos"/>
          <w:b w:val="0"/>
          <w:i w:val="0"/>
          <w:sz w:val="21"/>
        </w:rPr>
        <w:t>仓库级代码理解、多文件修改、终端与测试调用、多轮工具反馈、同一仓库连续任务、超长上下文和跨请求复用。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Microsoft YaHei" w:cs="Aptos"/>
          <w:b/>
          <w:i w:val="0"/>
          <w:color w:val="17365D"/>
          <w:sz w:val="21"/>
        </w:rPr>
        <w:t>暂不纳入：</w:t>
      </w:r>
      <w:r>
        <w:rPr>
          <w:rFonts w:ascii="Aptos" w:hAnsi="Aptos" w:eastAsia="SimSun" w:cs="Aptos"/>
          <w:b w:val="0"/>
          <w:i w:val="0"/>
          <w:sz w:val="21"/>
        </w:rPr>
        <w:t>只做单行补全的场景、没有真实工具交互的单轮代码生成、与代码无关的一般聊天，以及尚未明确一致性边界的跨租户语义缓存。</w:t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3. 系统组成与典型任务闭环</w:t>
      </w:r>
    </w:p>
    <w:p>
      <w:pPr>
        <w:keepNext w:val="0"/>
        <w:widowControl/>
        <w:spacing w:before="10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1490344"/>
            <wp:docPr id="1" name="Picture 1" descr="Code Agent task loop with context, LLM, tools, and observations" title="图1  Code Agent典型任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agent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90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80" w:after="140" w:line="264" w:lineRule="auto"/>
        <w:jc w:val="center"/>
      </w:pPr>
      <w:r>
        <w:rPr>
          <w:rFonts w:ascii="Aptos" w:hAnsi="Aptos" w:eastAsia="SimSun" w:cs="Aptos"/>
          <w:color w:val="667085"/>
          <w:sz w:val="18"/>
        </w:rPr>
        <w:t>图1  Code Agent典型任务闭环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3.1 核心组件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200"/>
        <w:gridCol w:w="720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组件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Agent控制器</w:t>
            </w:r>
          </w:p>
        </w:tc>
        <w:tc>
          <w:tcPr>
            <w:tcW w:type="dxa" w:w="7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维护任务状态，决定何时调用模型、工具或用户，并判断是否结束。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上下文构建器</w:t>
            </w:r>
          </w:p>
        </w:tc>
        <w:tc>
          <w:tcPr>
            <w:tcW w:type="dxa" w:w="7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拼接系统指令、工具定义、仓库规则、历史、文件片段和当前任务。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大语言模型</w:t>
            </w:r>
          </w:p>
        </w:tc>
        <w:tc>
          <w:tcPr>
            <w:tcW w:type="dxa" w:w="7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分析上下文，形成计划、工具调用或代码修改。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工具与ACI</w:t>
            </w:r>
          </w:p>
        </w:tc>
        <w:tc>
          <w:tcPr>
            <w:tcW w:type="dxa" w:w="7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提供读取、搜索、编辑、终端、测试、Git和外部服务访问。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沙箱与权限</w:t>
            </w:r>
          </w:p>
        </w:tc>
        <w:tc>
          <w:tcPr>
            <w:tcW w:type="dxa" w:w="7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隔离执行环境，限制文件、网络和危险操作。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记忆与观测</w:t>
            </w:r>
          </w:p>
        </w:tc>
        <w:tc>
          <w:tcPr>
            <w:tcW w:type="dxa" w:w="7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保存工具结果、错误、差异、成本和时延，为下一轮决策提供输入。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3.2 一个修复任务的典型轨迹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用户提交目标与约束，例如修复某接口的间歇性错误。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Agent加载系统指令、工具模式和仓库级规则。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模型选择搜索工具，定位相关代码、配置和测试。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工具返回文件内容或命令输出，并被追加到下一次上下文。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模型生成修改，Agent写入文件并运行测试。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若测试失败，错误日志进入上下文，系统继续迭代。</w:t>
      </w:r>
    </w:p>
    <w:p>
      <w:pPr>
        <w:pStyle w:val="ListNumber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测试通过后，Agent汇总变更、风险和验证结果。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SWE-bench指出，真实GitHub问题往往需要跨函数、跨类和跨文件协同修改，并要求模型与执行环境交互、处理极长上下文。这说明Code Agent工作负载与传统单次代码生成在系统层面显著不同。[2]</w:t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4. 上下文结构与重复计算来源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4.1 请求的抽象结构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第t次模型调用的Prompt可抽象为以下拼接：</w:t>
      </w:r>
    </w:p>
    <w:p>
      <w:pPr>
        <w:keepNext w:val="0"/>
        <w:widowControl/>
        <w:spacing w:before="100" w:after="140" w:line="240" w:lineRule="auto"/>
        <w:jc w:val="center"/>
      </w:pPr>
      <w:r>
        <w:rPr>
          <w:rFonts w:ascii="Cambria Math" w:hAnsi="Cambria Math" w:eastAsia="Cambria Math" w:cs="Cambria Math"/>
          <w:i/>
          <w:color w:val="17365D"/>
          <w:sz w:val="23"/>
        </w:rPr>
        <w:t>Pₜ = S ∥ T ∥ R ∥ Fₜ ∥ Hₜ ∥ Qₜ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其中S为系统指令，T为工具定义，R为仓库或项目规则，Fₜ为当前选取的文件与代码片段，Hₜ为对话和工具历史，Qₜ为当前目标。一次工具调用完成后，Hₜ通常追加新的观察结果，形成Pₜ₊₁。</w:t>
      </w:r>
    </w:p>
    <w:p>
      <w:pPr>
        <w:keepNext w:val="0"/>
        <w:widowControl/>
        <w:spacing w:before="10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017077"/>
            <wp:docPr id="2" name="Picture 2" descr="Stable, semi-static, and dynamic Code Agent prompt components" title="图2  Code Agent上下文稳定性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st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1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80" w:after="140" w:line="264" w:lineRule="auto"/>
        <w:jc w:val="center"/>
      </w:pPr>
      <w:r>
        <w:rPr>
          <w:rFonts w:ascii="Aptos" w:hAnsi="Aptos" w:eastAsia="SimSun" w:cs="Aptos"/>
          <w:color w:val="667085"/>
          <w:sz w:val="18"/>
        </w:rPr>
        <w:t>图2  Code Agent上下文稳定性分层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4.2 三类重复来源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50"/>
        <w:gridCol w:w="3000"/>
        <w:gridCol w:w="2200"/>
        <w:gridCol w:w="265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类别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典型内容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重复形态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候选处理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稳定前缀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系统指令、工具Schema、平台规则</w:t>
            </w:r>
          </w:p>
        </w:tc>
        <w:tc>
          <w:tcPr>
            <w:tcW w:type="dxa" w:w="2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跨任务重复</w:t>
            </w:r>
          </w:p>
        </w:tc>
        <w:tc>
          <w:tcPr>
            <w:tcW w:type="dxa" w:w="26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精确前缀缓存</w:t>
            </w:r>
          </w:p>
        </w:tc>
      </w:tr>
      <w:tr>
        <w:trPr>
          <w:cantSplit/>
        </w:trPr>
        <w:tc>
          <w:tcPr>
            <w:tcW w:type="dxa" w:w="15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仓库级半稳定内容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仓库规则、未修改文件、依赖信息</w:t>
            </w:r>
          </w:p>
        </w:tc>
        <w:tc>
          <w:tcPr>
            <w:tcW w:type="dxa" w:w="2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同一仓库内高重复</w:t>
            </w:r>
          </w:p>
        </w:tc>
        <w:tc>
          <w:tcPr>
            <w:tcW w:type="dxa" w:w="26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版本化、固定排序、分块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会话历史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对话、计划、已完成工具调用</w:t>
            </w:r>
          </w:p>
        </w:tc>
        <w:tc>
          <w:tcPr>
            <w:tcW w:type="dxa" w:w="2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相邻轮次为追加式</w:t>
            </w:r>
          </w:p>
        </w:tc>
        <w:tc>
          <w:tcPr>
            <w:tcW w:type="dxa" w:w="26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会话级增量缓存</w:t>
            </w:r>
          </w:p>
        </w:tc>
      </w:tr>
      <w:tr>
        <w:trPr>
          <w:cantSplit/>
        </w:trPr>
        <w:tc>
          <w:tcPr>
            <w:tcW w:type="dxa" w:w="15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动态后缀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当前指令、最新日志、差异和错误</w:t>
            </w:r>
          </w:p>
        </w:tc>
        <w:tc>
          <w:tcPr>
            <w:tcW w:type="dxa" w:w="2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每轮变化</w:t>
            </w:r>
          </w:p>
        </w:tc>
        <w:tc>
          <w:tcPr>
            <w:tcW w:type="dxa" w:w="26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重新计算或选择性更新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4.3 三个复用范围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任务内复用：同一Agent任务相邻模型调用共享大部分前缀，通常是第一优先级。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会话/仓库内复用：同一用户再次处理同一仓库，仓库规则和大量未修改内容可重复。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平台级复用：系统指令与工具定义可跨请求共享，但跨租户数据必须隔离，不能为追求命中率牺牲安全。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F6000"/>
          <w:left w:val="single" w:sz="8" w:space="0" w:color="7F6000"/>
          <w:bottom w:val="single" w:sz="8" w:space="0" w:color="7F6000"/>
          <w:right w:val="single" w:sz="8" w:space="0" w:color="7F6000"/>
        </w:tblBorders>
      </w:tblPr>
      <w:tblGrid>
        <w:gridCol w:w="9400"/>
      </w:tblGrid>
      <w:tr>
        <w:trPr>
          <w:cantSplit/>
        </w:trPr>
        <w:tc>
          <w:tcPr>
            <w:tcW w:type="dxa" w:w="9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CC"/>
          </w:tcPr>
          <w:p>
            <w:pPr>
              <w:keepNext w:val="0"/>
              <w:widowControl/>
              <w:spacing w:before="40" w:after="40" w:line="312" w:lineRule="auto"/>
              <w:jc w:val="left"/>
            </w:pPr>
            <w:r>
              <w:rPr>
                <w:rFonts w:ascii="Aptos" w:hAnsi="Aptos" w:eastAsia="Microsoft YaHei" w:cs="Aptos"/>
                <w:b/>
                <w:color w:val="7F6000"/>
                <w:sz w:val="21"/>
              </w:rPr>
              <w:t xml:space="preserve">待验证假设  </w:t>
            </w:r>
            <w:r>
              <w:rPr>
                <w:rFonts w:ascii="Aptos" w:hAnsi="Aptos" w:eastAsia="SimSun" w:cs="Aptos"/>
                <w:color w:val="344054"/>
                <w:sz w:val="21"/>
              </w:rPr>
              <w:t>项目材料中“重复率90%以上”应转化为Trace假设：分别测量字节重复、Token重复、精确前缀重叠和可安全复用KV Token比例，四者不可混用。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5. KVCache复用原理与正确性条件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5.1 Prefill、Decode与KVCache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在自回归Transformer推理中，Prefill阶段处理完整输入并为每层、每个历史Token生成Key与Value；Decode阶段生成新Token时读取这些状态，避免反复计算旧Token。KVCache以额外存储换取计算复用，其容量随上下文长度近似线性增长。</w:t>
      </w:r>
    </w:p>
    <w:p>
      <w:pPr>
        <w:keepNext w:val="0"/>
        <w:widowControl/>
        <w:spacing w:before="100" w:after="140" w:line="240" w:lineRule="auto"/>
        <w:jc w:val="center"/>
      </w:pPr>
      <w:r>
        <w:rPr>
          <w:rFonts w:ascii="Cambria Math" w:hAnsi="Cambria Math" w:eastAsia="Cambria Math" w:cs="Cambria Math"/>
          <w:i/>
          <w:color w:val="17365D"/>
          <w:sz w:val="23"/>
        </w:rPr>
        <w:t>Mₖᵥ ≈ 2 × L × Hₖᵥ × dₕ × S × b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L为层数，Hₖᵥ为KV头数，dₕ为Head维度，S为序列长度，b为每个元素的字节数；系数2分别对应Key和Value。GQA、MLA和低精度格式会改变Hₖᵥ、表示维度或b，因此缓存系统必须保存结构化元数据。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5.2 精确前缀复用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当两个请求具有完全相同的Token前缀，并且模型权重、Tokenizer、位置编码配置、适配器和数值格式一致时，对应前缀的KV状态可以复用。vLLM的自动前缀缓存使用包含当前块Token及前序块哈希的块标识，体现了KV状态对整个前缀的依赖。[17]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5.3 为什么相同文本块不能直接复用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某段代码即使文本完全相同，只要它前面的内容或位置不同，各层隐藏状态及后续KV就可能不同。CacheBlend明确指出，非前缀文本块的预计算KV忽略了与前置文本的交互，不能无条件直接拼接；其方案需要选择性重算部分Token来恢复质量。[8]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42318"/>
          <w:left w:val="single" w:sz="8" w:space="0" w:color="B42318"/>
          <w:bottom w:val="single" w:sz="8" w:space="0" w:color="B42318"/>
          <w:right w:val="single" w:sz="8" w:space="0" w:color="B42318"/>
        </w:tblBorders>
      </w:tblPr>
      <w:tblGrid>
        <w:gridCol w:w="9400"/>
      </w:tblGrid>
      <w:tr>
        <w:trPr>
          <w:cantSplit/>
        </w:trPr>
        <w:tc>
          <w:tcPr>
            <w:tcW w:type="dxa" w:w="9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CE8E6"/>
          </w:tcPr>
          <w:p>
            <w:pPr>
              <w:keepNext w:val="0"/>
              <w:widowControl/>
              <w:spacing w:before="40" w:after="40" w:line="312" w:lineRule="auto"/>
              <w:jc w:val="left"/>
            </w:pPr>
            <w:r>
              <w:rPr>
                <w:rFonts w:ascii="Aptos" w:hAnsi="Aptos" w:eastAsia="Microsoft YaHei" w:cs="Aptos"/>
                <w:b/>
                <w:color w:val="B42318"/>
                <w:sz w:val="21"/>
              </w:rPr>
              <w:t xml:space="preserve">正确性红线  </w:t>
            </w:r>
            <w:r>
              <w:rPr>
                <w:rFonts w:ascii="Aptos" w:hAnsi="Aptos" w:eastAsia="SimSun" w:cs="Aptos"/>
                <w:color w:val="344054"/>
                <w:sz w:val="21"/>
              </w:rPr>
              <w:t>缓存键不能只包含文本哈希。至少应覆盖模型/权重版本、Tokenizer、适配器、位置配置、量化格式、Token块及其前缀依赖；跨租户还需包含安全域。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r>
        <w:br w:type="page"/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5.4 提高命中率的两类方法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750"/>
        <w:gridCol w:w="3100"/>
        <w:gridCol w:w="2200"/>
        <w:gridCol w:w="2350"/>
      </w:tblGrid>
      <w:tr>
        <w:trPr>
          <w:cantSplit/>
          <w:tblHeader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方法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机制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优势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主要风险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被动命中</w:t>
            </w:r>
          </w:p>
        </w:tc>
        <w:tc>
          <w:tcPr>
            <w:tcW w:type="dxa" w:w="31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对已有Prompt执行前缀树或块哈希匹配</w:t>
            </w:r>
          </w:p>
        </w:tc>
        <w:tc>
          <w:tcPr>
            <w:tcW w:type="dxa" w:w="2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改动小、可作为基线</w:t>
            </w:r>
          </w:p>
        </w:tc>
        <w:tc>
          <w:tcPr>
            <w:tcW w:type="dxa" w:w="23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受Prompt顺序影响大</w:t>
            </w:r>
          </w:p>
        </w:tc>
      </w:tr>
      <w:tr>
        <w:trPr>
          <w:cantSplit/>
        </w:trPr>
        <w:tc>
          <w:tcPr>
            <w:tcW w:type="dxa" w:w="17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主动制造可复用前缀</w:t>
            </w:r>
          </w:p>
        </w:tc>
        <w:tc>
          <w:tcPr>
            <w:tcW w:type="dxa" w:w="31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稳定内容前置、规范化工具定义、文件固定排序、会话增量追加</w:t>
            </w:r>
          </w:p>
        </w:tc>
        <w:tc>
          <w:tcPr>
            <w:tcW w:type="dxa" w:w="2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可能显著提升可复用长度</w:t>
            </w:r>
          </w:p>
        </w:tc>
        <w:tc>
          <w:tcPr>
            <w:tcW w:type="dxa" w:w="23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需与Agent上下文策略共同设计</w:t>
            </w:r>
          </w:p>
        </w:tc>
      </w:tr>
      <w:tr>
        <w:trPr>
          <w:cantSplit/>
        </w:trPr>
        <w:tc>
          <w:tcPr>
            <w:tcW w:type="dxa" w:w="17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受控非前缀复用</w:t>
            </w:r>
          </w:p>
        </w:tc>
        <w:tc>
          <w:tcPr>
            <w:tcW w:type="dxa" w:w="31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模块化位置Schema、选择性重算或融合</w:t>
            </w:r>
          </w:p>
        </w:tc>
        <w:tc>
          <w:tcPr>
            <w:tcW w:type="dxa" w:w="2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覆盖局部重复</w:t>
            </w:r>
          </w:p>
        </w:tc>
        <w:tc>
          <w:tcPr>
            <w:tcW w:type="dxa" w:w="23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正确性和计算收益更复杂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6. Code Agent复用机会与优先级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900"/>
        <w:gridCol w:w="1950"/>
        <w:gridCol w:w="2400"/>
        <w:gridCol w:w="3000"/>
        <w:gridCol w:w="1150"/>
      </w:tblGrid>
      <w:tr>
        <w:trPr>
          <w:cantSplit/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优先级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复用对象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工作负载依据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候选机制</w:t>
            </w:r>
          </w:p>
        </w:tc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风险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P0</w:t>
            </w:r>
          </w:p>
        </w:tc>
        <w:tc>
          <w:tcPr>
            <w:tcW w:type="dxa" w:w="19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系统指令与工具Schema</w:t>
            </w:r>
          </w:p>
        </w:tc>
        <w:tc>
          <w:tcPr>
            <w:tcW w:type="dxa" w:w="24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平台级稳定前缀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精确前缀缓存</w:t>
            </w:r>
          </w:p>
        </w:tc>
        <w:tc>
          <w:tcPr>
            <w:tcW w:type="dxa" w:w="11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9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P0</w:t>
            </w:r>
          </w:p>
        </w:tc>
        <w:tc>
          <w:tcPr>
            <w:tcW w:type="dxa" w:w="19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同一任务相邻轮次</w:t>
            </w:r>
          </w:p>
        </w:tc>
        <w:tc>
          <w:tcPr>
            <w:tcW w:type="dxa" w:w="24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历史追加，前缀高度稳定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会话增量缓存</w:t>
            </w:r>
          </w:p>
        </w:tc>
        <w:tc>
          <w:tcPr>
            <w:tcW w:type="dxa" w:w="11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P0</w:t>
            </w:r>
          </w:p>
        </w:tc>
        <w:tc>
          <w:tcPr>
            <w:tcW w:type="dxa" w:w="19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仓库规则与固定说明</w:t>
            </w:r>
          </w:p>
        </w:tc>
        <w:tc>
          <w:tcPr>
            <w:tcW w:type="dxa" w:w="24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会话/仓库级复用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版本化并前置</w:t>
            </w:r>
          </w:p>
        </w:tc>
        <w:tc>
          <w:tcPr>
            <w:tcW w:type="dxa" w:w="11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9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P1</w:t>
            </w:r>
          </w:p>
        </w:tc>
        <w:tc>
          <w:tcPr>
            <w:tcW w:type="dxa" w:w="19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未修改代码文件</w:t>
            </w:r>
          </w:p>
        </w:tc>
        <w:tc>
          <w:tcPr>
            <w:tcW w:type="dxa" w:w="24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内容重复但顺序可能变化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固定排序、分块、依赖标识</w:t>
            </w:r>
          </w:p>
        </w:tc>
        <w:tc>
          <w:tcPr>
            <w:tcW w:type="dxa" w:w="11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P1</w:t>
            </w:r>
          </w:p>
        </w:tc>
        <w:tc>
          <w:tcPr>
            <w:tcW w:type="dxa" w:w="19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局部文件修改</w:t>
            </w:r>
          </w:p>
        </w:tc>
        <w:tc>
          <w:tcPr>
            <w:tcW w:type="dxa" w:w="24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大部分内容不变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增量失效与影响范围分析</w:t>
            </w:r>
          </w:p>
        </w:tc>
        <w:tc>
          <w:tcPr>
            <w:tcW w:type="dxa" w:w="11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中高</w:t>
            </w:r>
          </w:p>
        </w:tc>
      </w:tr>
      <w:tr>
        <w:trPr>
          <w:cantSplit/>
        </w:trPr>
        <w:tc>
          <w:tcPr>
            <w:tcW w:type="dxa" w:w="9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P1</w:t>
            </w:r>
          </w:p>
        </w:tc>
        <w:tc>
          <w:tcPr>
            <w:tcW w:type="dxa" w:w="19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冷热缓存分层</w:t>
            </w:r>
          </w:p>
        </w:tc>
        <w:tc>
          <w:tcPr>
            <w:tcW w:type="dxa" w:w="24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容量和读取速度不同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收益感知放置与预取</w:t>
            </w:r>
          </w:p>
        </w:tc>
        <w:tc>
          <w:tcPr>
            <w:tcW w:type="dxa" w:w="11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P2</w:t>
            </w:r>
          </w:p>
        </w:tc>
        <w:tc>
          <w:tcPr>
            <w:tcW w:type="dxa" w:w="19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任意非前缀代码块</w:t>
            </w:r>
          </w:p>
        </w:tc>
        <w:tc>
          <w:tcPr>
            <w:tcW w:type="dxa" w:w="24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文本相同、前置上下文不同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选择性重算/融合</w:t>
            </w:r>
          </w:p>
        </w:tc>
        <w:tc>
          <w:tcPr>
            <w:tcW w:type="dxa" w:w="11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9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P2</w:t>
            </w:r>
          </w:p>
        </w:tc>
        <w:tc>
          <w:tcPr>
            <w:tcW w:type="dxa" w:w="19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跨租户共享</w:t>
            </w:r>
          </w:p>
        </w:tc>
        <w:tc>
          <w:tcPr>
            <w:tcW w:type="dxa" w:w="24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可能共享公共规则或开源仓库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安全域、加盐哈希、访问控制</w:t>
            </w:r>
          </w:p>
        </w:tc>
        <w:tc>
          <w:tcPr>
            <w:tcW w:type="dxa" w:w="11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高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6.1 推荐的研发顺序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第一步：先做无缓存基线与精确前缀基线，证明结果一致并建立TTFT收益曲线。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第二步：再做Prompt布局规范化和仓库内容固定排序，用工作负载改造提高前缀长度。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第三步：随后接入DRAM/SSD层级，建立读取、传输、解码与重算之间的收益边界。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第四步：最后研究局部变更后的增量失效和受控非前缀复用，这部分更适合作为论文创新点。</w:t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7. 公开技术基线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本项目需要同时设置算法基线和系统基线，避免只与“无缓存”比较。以下工作覆盖内存管理、前缀复用、非前缀融合、分层存储和传输压缩等关键方向。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850"/>
        <w:gridCol w:w="3550"/>
        <w:gridCol w:w="3000"/>
        <w:gridCol w:w="1000"/>
      </w:tblGrid>
      <w:tr>
        <w:trPr>
          <w:cantSplit/>
          <w:tblHeader w:val="true"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系统/方法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核心机制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本项目中的角色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来源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PagedAttention / vLLM</w:t>
            </w:r>
          </w:p>
        </w:tc>
        <w:tc>
          <w:tcPr>
            <w:tcW w:type="dxa" w:w="35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分页式KV内存管理、减少碎片并支持共享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显存内KV管理基线</w:t>
            </w:r>
          </w:p>
        </w:tc>
        <w:tc>
          <w:tcPr>
            <w:tcW w:type="dxa" w:w="1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[5][17]</w:t>
            </w:r>
          </w:p>
        </w:tc>
      </w:tr>
      <w:tr>
        <w:trPr>
          <w:cantSplit/>
        </w:trPr>
        <w:tc>
          <w:tcPr>
            <w:tcW w:type="dxa" w:w="1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RadixAttention / SGLang</w:t>
            </w:r>
          </w:p>
        </w:tc>
        <w:tc>
          <w:tcPr>
            <w:tcW w:type="dxa" w:w="35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Radix树自动复用多请求公共前缀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精确前缀命中基线</w:t>
            </w:r>
          </w:p>
        </w:tc>
        <w:tc>
          <w:tcPr>
            <w:tcW w:type="dxa" w:w="1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[6]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Prompt Cache</w:t>
            </w:r>
          </w:p>
        </w:tc>
        <w:tc>
          <w:tcPr>
            <w:tcW w:type="dxa" w:w="35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用Schema定义可复用Prompt模块并保证位置准确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结构化模块缓存参考</w:t>
            </w:r>
          </w:p>
        </w:tc>
        <w:tc>
          <w:tcPr>
            <w:tcW w:type="dxa" w:w="1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[7]</w:t>
            </w:r>
          </w:p>
        </w:tc>
      </w:tr>
      <w:tr>
        <w:trPr>
          <w:cantSplit/>
        </w:trPr>
        <w:tc>
          <w:tcPr>
            <w:tcW w:type="dxa" w:w="1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CacheBlend</w:t>
            </w:r>
          </w:p>
        </w:tc>
        <w:tc>
          <w:tcPr>
            <w:tcW w:type="dxa" w:w="35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对非前缀文本块选择性重算并融合缓存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非前缀复用对比</w:t>
            </w:r>
          </w:p>
        </w:tc>
        <w:tc>
          <w:tcPr>
            <w:tcW w:type="dxa" w:w="1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[8]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Mooncake</w:t>
            </w:r>
          </w:p>
        </w:tc>
        <w:tc>
          <w:tcPr>
            <w:tcW w:type="dxa" w:w="35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Prefill/Decode解耦，利用CPU、DRAM、SSD和NIC构建分离缓存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大规模软硬件协同参考</w:t>
            </w:r>
          </w:p>
        </w:tc>
        <w:tc>
          <w:tcPr>
            <w:tcW w:type="dxa" w:w="1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[9]</w:t>
            </w:r>
          </w:p>
        </w:tc>
      </w:tr>
      <w:tr>
        <w:trPr>
          <w:cantSplit/>
        </w:trPr>
        <w:tc>
          <w:tcPr>
            <w:tcW w:type="dxa" w:w="1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CacheGen</w:t>
            </w:r>
          </w:p>
        </w:tc>
        <w:tc>
          <w:tcPr>
            <w:tcW w:type="dxa" w:w="35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压缩并自适应传输KVCache，降低网络读取延迟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传输压缩基线</w:t>
            </w:r>
          </w:p>
        </w:tc>
        <w:tc>
          <w:tcPr>
            <w:tcW w:type="dxa" w:w="1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[10]</w:t>
            </w:r>
          </w:p>
        </w:tc>
      </w:tr>
      <w:tr>
        <w:trPr>
          <w:cantSplit/>
        </w:trPr>
        <w:tc>
          <w:tcPr>
            <w:tcW w:type="dxa" w:w="18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LMCache</w:t>
            </w:r>
          </w:p>
        </w:tc>
        <w:tc>
          <w:tcPr>
            <w:tcW w:type="dxa" w:w="35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在引擎和请求之间持久化、共享和搬运KVCache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跨引擎缓存层基线</w:t>
            </w:r>
          </w:p>
        </w:tc>
        <w:tc>
          <w:tcPr>
            <w:tcW w:type="dxa" w:w="1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[11]</w:t>
            </w:r>
          </w:p>
        </w:tc>
      </w:tr>
      <w:tr>
        <w:trPr>
          <w:cantSplit/>
        </w:trPr>
        <w:tc>
          <w:tcPr>
            <w:tcW w:type="dxa" w:w="1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HiCache</w:t>
            </w:r>
          </w:p>
        </w:tc>
        <w:tc>
          <w:tcPr>
            <w:tcW w:type="dxa" w:w="35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GPU L1、主存L2、分布式存储L3的层次化缓存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三级存储实现参考</w:t>
            </w:r>
          </w:p>
        </w:tc>
        <w:tc>
          <w:tcPr>
            <w:tcW w:type="dxa" w:w="1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[18]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keepNext w:val="0"/>
        <w:widowControl/>
        <w:spacing w:before="10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1834300"/>
            <wp:docPr id="3" name="Picture 3" descr="Three-tier KVCache hierarchy across GPU, host memory, and storage" title="图3  KVCache分层存储与收益判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ed_kv_cach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3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80" w:after="140" w:line="264" w:lineRule="auto"/>
        <w:jc w:val="center"/>
      </w:pPr>
      <w:r>
        <w:rPr>
          <w:rFonts w:ascii="Aptos" w:hAnsi="Aptos" w:eastAsia="SimSun" w:cs="Aptos"/>
          <w:color w:val="667085"/>
          <w:sz w:val="18"/>
        </w:rPr>
        <w:t>图3  KVCache分层存储与收益判断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7.1 基线选择建议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MVP阶段建议选择一个支持自动前缀缓存的主流推理引擎作为底座，并保留“关闭缓存”的同构配置。若从一开始就同时更换推理内核、调度器和存储层，将无法判断性能收益来自哪一项设计。分层缓存可以在精确前缀正确性稳定后接入。</w:t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8. 架构与量化格式兼容性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300"/>
        <w:gridCol w:w="3000"/>
        <w:gridCol w:w="3100"/>
        <w:gridCol w:w="2000"/>
      </w:tblGrid>
      <w:tr>
        <w:trPr>
          <w:cantSplit/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架构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对KVCache的影响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系统适配重点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当前判断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GQA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多个Query头共享较少的KV头；KV体积取决于KV头数</w:t>
            </w:r>
          </w:p>
        </w:tc>
        <w:tc>
          <w:tcPr>
            <w:tcW w:type="dxa" w:w="31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缓存键记录头布局；验证分页与张量并行布局</w:t>
            </w:r>
          </w:p>
        </w:tc>
        <w:tc>
          <w:tcPr>
            <w:tcW w:type="dxa" w:w="2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定义清晰，可优先支持</w:t>
            </w:r>
          </w:p>
        </w:tc>
      </w:tr>
      <w:tr>
        <w:trPr>
          <w:cantSplit/>
        </w:trPr>
        <w:tc>
          <w:tcPr>
            <w:tcW w:type="dxa" w:w="13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MLA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将KV信息压缩到低维潜向量，缓存表示不同于标准GQA</w:t>
            </w:r>
          </w:p>
        </w:tc>
        <w:tc>
          <w:tcPr>
            <w:tcW w:type="dxa" w:w="31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需要专用序列化、恢复和内核适配</w:t>
            </w:r>
          </w:p>
        </w:tc>
        <w:tc>
          <w:tcPr>
            <w:tcW w:type="dxa" w:w="2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DeepSeek-V2公开定义[13]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DSA</w:t>
            </w:r>
          </w:p>
        </w:tc>
        <w:tc>
          <w:tcPr>
            <w:tcW w:type="dxa" w:w="3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长上下文中动态选择部分历史位置参与注意力</w:t>
            </w:r>
          </w:p>
        </w:tc>
        <w:tc>
          <w:tcPr>
            <w:tcW w:type="dxa" w:w="31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除存储外还涉及索引/选择访问模式</w:t>
            </w:r>
          </w:p>
        </w:tc>
        <w:tc>
          <w:tcPr>
            <w:tcW w:type="dxa" w:w="2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DeepSeek-V3.2公开定义[14]</w:t>
            </w:r>
          </w:p>
        </w:tc>
      </w:tr>
      <w:tr>
        <w:trPr>
          <w:cantSplit/>
        </w:trPr>
        <w:tc>
          <w:tcPr>
            <w:tcW w:type="dxa" w:w="13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Hybrid</w:t>
            </w:r>
          </w:p>
        </w:tc>
        <w:tc>
          <w:tcPr>
            <w:tcW w:type="dxa" w:w="3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可能指全注意力与滑窗/线性/局部注意力混合</w:t>
            </w:r>
          </w:p>
        </w:tc>
        <w:tc>
          <w:tcPr>
            <w:tcW w:type="dxa" w:w="31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不同层可能拥有不同缓存类型与窗口</w:t>
            </w:r>
          </w:p>
        </w:tc>
        <w:tc>
          <w:tcPr>
            <w:tcW w:type="dxa" w:w="2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项目材料含义待确认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8.1 量化与压缩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900"/>
        <w:gridCol w:w="2400"/>
        <w:gridCol w:w="3150"/>
        <w:gridCol w:w="1950"/>
      </w:tblGrid>
      <w:tr>
        <w:trPr>
          <w:cantSplit/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格式/方法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潜在价值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关键问题</w:t>
            </w:r>
          </w:p>
        </w:tc>
        <w:tc>
          <w:tcPr>
            <w:tcW w:type="dxa" w:w="1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必须验证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FP8</w:t>
            </w:r>
          </w:p>
        </w:tc>
        <w:tc>
          <w:tcPr>
            <w:tcW w:type="dxa" w:w="24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约为FP16/BF16一半容量</w:t>
            </w:r>
          </w:p>
        </w:tc>
        <w:tc>
          <w:tcPr>
            <w:tcW w:type="dxa" w:w="31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工程支持相对成熟，但收益取决于内核和硬件</w:t>
            </w:r>
          </w:p>
        </w:tc>
        <w:tc>
          <w:tcPr>
            <w:tcW w:type="dxa" w:w="19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准确率、吞吐、传输</w:t>
            </w:r>
          </w:p>
        </w:tc>
      </w:tr>
      <w:tr>
        <w:trPr>
          <w:cantSplit/>
        </w:trPr>
        <w:tc>
          <w:tcPr>
            <w:tcW w:type="dxa" w:w="19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FP4/INT4</w:t>
            </w:r>
          </w:p>
        </w:tc>
        <w:tc>
          <w:tcPr>
            <w:tcW w:type="dxa" w:w="24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理论容量进一步下降</w:t>
            </w:r>
          </w:p>
        </w:tc>
        <w:tc>
          <w:tcPr>
            <w:tcW w:type="dxa" w:w="31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在线量化、Scale元数据和低精度内核开销更突出</w:t>
            </w:r>
          </w:p>
        </w:tc>
        <w:tc>
          <w:tcPr>
            <w:tcW w:type="dxa" w:w="19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代码任务质量、长上下文稳定性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KIVI/KVQuant类低比特方案</w:t>
            </w:r>
          </w:p>
        </w:tc>
        <w:tc>
          <w:tcPr>
            <w:tcW w:type="dxa" w:w="24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按通道/Token处理分布和离群值</w:t>
            </w:r>
          </w:p>
        </w:tc>
        <w:tc>
          <w:tcPr>
            <w:tcW w:type="dxa" w:w="31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可作为研究对比，不等同于通用格式</w:t>
            </w:r>
          </w:p>
        </w:tc>
        <w:tc>
          <w:tcPr>
            <w:tcW w:type="dxa" w:w="19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困惑度、任务成功率、内核收益</w:t>
            </w:r>
          </w:p>
        </w:tc>
      </w:tr>
      <w:tr>
        <w:trPr>
          <w:cantSplit/>
        </w:trPr>
        <w:tc>
          <w:tcPr>
            <w:tcW w:type="dxa" w:w="19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CacheGen类编码</w:t>
            </w:r>
          </w:p>
        </w:tc>
        <w:tc>
          <w:tcPr>
            <w:tcW w:type="dxa" w:w="24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面向存储/网络传输压缩</w:t>
            </w:r>
          </w:p>
        </w:tc>
        <w:tc>
          <w:tcPr>
            <w:tcW w:type="dxa" w:w="31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目标不同于直接注意力计算格式</w:t>
            </w:r>
          </w:p>
        </w:tc>
        <w:tc>
          <w:tcPr>
            <w:tcW w:type="dxa" w:w="19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端到端读取延迟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TensorQuant</w:t>
            </w:r>
          </w:p>
        </w:tc>
        <w:tc>
          <w:tcPr>
            <w:tcW w:type="dxa" w:w="24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公开资料中缺少与本项目表述一一对应的统一KV格式</w:t>
            </w:r>
          </w:p>
        </w:tc>
        <w:tc>
          <w:tcPr>
            <w:tcW w:type="dxa" w:w="31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必须向项目方确认具体实现、位宽、Scale和内核</w:t>
            </w:r>
          </w:p>
        </w:tc>
        <w:tc>
          <w:tcPr>
            <w:tcW w:type="dxa" w:w="19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暂不作为既定标准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F6000"/>
          <w:left w:val="single" w:sz="8" w:space="0" w:color="7F6000"/>
          <w:bottom w:val="single" w:sz="8" w:space="0" w:color="7F6000"/>
          <w:right w:val="single" w:sz="8" w:space="0" w:color="7F6000"/>
        </w:tblBorders>
      </w:tblPr>
      <w:tblGrid>
        <w:gridCol w:w="9400"/>
      </w:tblGrid>
      <w:tr>
        <w:trPr>
          <w:cantSplit/>
        </w:trPr>
        <w:tc>
          <w:tcPr>
            <w:tcW w:type="dxa" w:w="9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CC"/>
          </w:tcPr>
          <w:p>
            <w:pPr>
              <w:keepNext w:val="0"/>
              <w:widowControl/>
              <w:spacing w:before="40" w:after="40" w:line="312" w:lineRule="auto"/>
              <w:jc w:val="left"/>
            </w:pPr>
            <w:r>
              <w:rPr>
                <w:rFonts w:ascii="Aptos" w:hAnsi="Aptos" w:eastAsia="Microsoft YaHei" w:cs="Aptos"/>
                <w:b/>
                <w:color w:val="7F6000"/>
                <w:sz w:val="21"/>
              </w:rPr>
              <w:t xml:space="preserve">待确认项  </w:t>
            </w:r>
            <w:r>
              <w:rPr>
                <w:rFonts w:ascii="Aptos" w:hAnsi="Aptos" w:eastAsia="SimSun" w:cs="Aptos"/>
                <w:color w:val="344054"/>
                <w:sz w:val="21"/>
              </w:rPr>
              <w:t>“Hybrid”和“TensorQuant”在项目材料中尚无足够定义。正式技术方案必须获得模型列表、张量布局或格式规范，不能仅凭名称完成适配承诺。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9. 指标口径与验收建议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9.1 命中率必须分层定义</w:t>
      </w:r>
    </w:p>
    <w:p>
      <w:pPr>
        <w:keepNext w:val="0"/>
        <w:widowControl/>
        <w:spacing w:before="100" w:after="140" w:line="240" w:lineRule="auto"/>
        <w:jc w:val="center"/>
      </w:pPr>
      <w:r>
        <w:rPr>
          <w:rFonts w:ascii="Cambria Math" w:hAnsi="Cambria Math" w:eastAsia="Cambria Math" w:cs="Cambria Math"/>
          <w:i/>
          <w:color w:val="17365D"/>
          <w:sz w:val="23"/>
        </w:rPr>
        <w:t>Hrequest = N(发生任意复用的请求) / N(总请求)</w:t>
      </w:r>
    </w:p>
    <w:p>
      <w:pPr>
        <w:keepNext w:val="0"/>
        <w:widowControl/>
        <w:spacing w:before="100" w:after="140" w:line="240" w:lineRule="auto"/>
        <w:jc w:val="center"/>
      </w:pPr>
      <w:r>
        <w:rPr>
          <w:rFonts w:ascii="Cambria Math" w:hAnsi="Cambria Math" w:eastAsia="Cambria Math" w:cs="Cambria Math"/>
          <w:i/>
          <w:color w:val="17365D"/>
          <w:sz w:val="23"/>
        </w:rPr>
        <w:t>Htoken = N(直接复用的Prefill Token) / N(全部Prompt Token)</w:t>
      </w:r>
    </w:p>
    <w:p>
      <w:pPr>
        <w:keepNext w:val="0"/>
        <w:widowControl/>
        <w:spacing w:before="100" w:after="140" w:line="240" w:lineRule="auto"/>
        <w:jc w:val="center"/>
      </w:pPr>
      <w:r>
        <w:rPr>
          <w:rFonts w:ascii="Cambria Math" w:hAnsi="Cambria Math" w:eastAsia="Cambria Math" w:cs="Cambria Math"/>
          <w:i/>
          <w:color w:val="17365D"/>
          <w:sz w:val="23"/>
        </w:rPr>
        <w:t>Heffective = N(读取收益为正的复用Token) / N(全部Prompt Token)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LMCache的公开观测指标同时区分请求、Token、查询命中和读取时延，说明单一“命中率”不足以描述系统收益。[19] 建议把项目材料中的70%和95%主要映射到端到端Token命中率，并同时报告各层缓存的贡献。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9.2 有效命中的收益条件</w:t>
      </w:r>
    </w:p>
    <w:p>
      <w:pPr>
        <w:keepNext w:val="0"/>
        <w:widowControl/>
        <w:spacing w:before="100" w:after="140" w:line="240" w:lineRule="auto"/>
        <w:jc w:val="center"/>
      </w:pPr>
      <w:r>
        <w:rPr>
          <w:rFonts w:ascii="Cambria Math" w:hAnsi="Cambria Math" w:eastAsia="Cambria Math" w:cs="Cambria Math"/>
          <w:i/>
          <w:color w:val="17365D"/>
          <w:sz w:val="23"/>
        </w:rPr>
        <w:t>Tlookup + Ttransfer + Trestore &lt; Trecompute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如果缓存位于慢速层级，逻辑命中可能比直接重算更慢。因此，应增加负收益命中率、读取速度、传输字节数和逐层命中分布。Mooncake、CacheGen和HiCache都表明，容量扩展必须与调度、带宽和SLO协同考虑。[9][10][18]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9.3 TTFT与成本</w:t>
      </w:r>
    </w:p>
    <w:p>
      <w:pPr>
        <w:keepNext w:val="0"/>
        <w:widowControl/>
        <w:spacing w:before="100" w:after="140" w:line="240" w:lineRule="auto"/>
        <w:jc w:val="center"/>
      </w:pPr>
      <w:r>
        <w:rPr>
          <w:rFonts w:ascii="Cambria Math" w:hAnsi="Cambria Math" w:eastAsia="Cambria Math" w:cs="Cambria Math"/>
          <w:i/>
          <w:color w:val="17365D"/>
          <w:sz w:val="23"/>
        </w:rPr>
        <w:t>GTTFT = (TTFTbaseline − TTFTcache) / TTFTbaseline</w:t>
      </w:r>
    </w:p>
    <w:p>
      <w:pPr>
        <w:keepNext w:val="0"/>
        <w:widowControl/>
        <w:spacing w:before="100" w:after="140" w:line="240" w:lineRule="auto"/>
        <w:jc w:val="center"/>
      </w:pPr>
      <w:r>
        <w:rPr>
          <w:rFonts w:ascii="Cambria Math" w:hAnsi="Cambria Math" w:eastAsia="Cambria Math" w:cs="Cambria Math"/>
          <w:i/>
          <w:color w:val="17365D"/>
          <w:sz w:val="23"/>
        </w:rPr>
        <w:t>Cratio = Ccache-system / Cdirect-compute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450"/>
        <w:gridCol w:w="5200"/>
        <w:gridCol w:w="2750"/>
      </w:tblGrid>
      <w:tr>
        <w:trPr>
          <w:cantSplit/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维度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建议指标</w:t>
            </w:r>
          </w:p>
        </w:tc>
        <w:tc>
          <w:tcPr>
            <w:tcW w:type="dxa" w:w="2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报告方式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命中</w:t>
            </w:r>
          </w:p>
        </w:tc>
        <w:tc>
          <w:tcPr>
            <w:tcW w:type="dxa" w:w="5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Token命中率、请求命中率、有效命中率、各缓存层命中</w:t>
            </w:r>
          </w:p>
        </w:tc>
        <w:tc>
          <w:tcPr>
            <w:tcW w:type="dxa" w:w="27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平均值 + P50/P95/P99</w:t>
            </w:r>
          </w:p>
        </w:tc>
      </w:tr>
      <w:tr>
        <w:trPr>
          <w:cantSplit/>
        </w:trPr>
        <w:tc>
          <w:tcPr>
            <w:tcW w:type="dxa" w:w="14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时延</w:t>
            </w:r>
          </w:p>
        </w:tc>
        <w:tc>
          <w:tcPr>
            <w:tcW w:type="dxa" w:w="5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TTFT、Prefill、查询、读取、传输、恢复</w:t>
            </w:r>
          </w:p>
        </w:tc>
        <w:tc>
          <w:tcPr>
            <w:tcW w:type="dxa" w:w="27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命中/部分命中/未命中分组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资源</w:t>
            </w:r>
          </w:p>
        </w:tc>
        <w:tc>
          <w:tcPr>
            <w:tcW w:type="dxa" w:w="5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GPU时间、HBM/DRAM/SSD占用、网络字节</w:t>
            </w:r>
          </w:p>
        </w:tc>
        <w:tc>
          <w:tcPr>
            <w:tcW w:type="dxa" w:w="27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峰值与时间积分</w:t>
            </w:r>
          </w:p>
        </w:tc>
      </w:tr>
      <w:tr>
        <w:trPr>
          <w:cantSplit/>
        </w:trPr>
        <w:tc>
          <w:tcPr>
            <w:tcW w:type="dxa" w:w="14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吞吐</w:t>
            </w:r>
          </w:p>
        </w:tc>
        <w:tc>
          <w:tcPr>
            <w:tcW w:type="dxa" w:w="5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请求/秒、Prompt Token/秒、有效吞吐</w:t>
            </w:r>
          </w:p>
        </w:tc>
        <w:tc>
          <w:tcPr>
            <w:tcW w:type="dxa" w:w="27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不同并发和上下文长度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质量</w:t>
            </w:r>
          </w:p>
        </w:tc>
        <w:tc>
          <w:tcPr>
            <w:tcW w:type="dxa" w:w="5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生成一致率、Logit误差、测试通过率、SWE任务成功率</w:t>
            </w:r>
          </w:p>
        </w:tc>
        <w:tc>
          <w:tcPr>
            <w:tcW w:type="dxa" w:w="27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精确与低精度方案分别报告</w:t>
            </w:r>
          </w:p>
        </w:tc>
      </w:tr>
      <w:tr>
        <w:trPr>
          <w:cantSplit/>
        </w:trPr>
        <w:tc>
          <w:tcPr>
            <w:tcW w:type="dxa" w:w="14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成本</w:t>
            </w:r>
          </w:p>
        </w:tc>
        <w:tc>
          <w:tcPr>
            <w:tcW w:type="dxa" w:w="5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GPU、CPU、存储、网络及运维总成本</w:t>
            </w:r>
          </w:p>
        </w:tc>
        <w:tc>
          <w:tcPr>
            <w:tcW w:type="dxa" w:w="27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与直接计算同口径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42318"/>
          <w:left w:val="single" w:sz="8" w:space="0" w:color="B42318"/>
          <w:bottom w:val="single" w:sz="8" w:space="0" w:color="B42318"/>
          <w:right w:val="single" w:sz="8" w:space="0" w:color="B42318"/>
        </w:tblBorders>
      </w:tblPr>
      <w:tblGrid>
        <w:gridCol w:w="9400"/>
      </w:tblGrid>
      <w:tr>
        <w:trPr>
          <w:cantSplit/>
        </w:trPr>
        <w:tc>
          <w:tcPr>
            <w:tcW w:type="dxa" w:w="9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CE8E6"/>
          </w:tcPr>
          <w:p>
            <w:pPr>
              <w:keepNext w:val="0"/>
              <w:widowControl/>
              <w:spacing w:before="40" w:after="40" w:line="312" w:lineRule="auto"/>
              <w:jc w:val="left"/>
            </w:pPr>
            <w:r>
              <w:rPr>
                <w:rFonts w:ascii="Aptos" w:hAnsi="Aptos" w:eastAsia="Microsoft YaHei" w:cs="Aptos"/>
                <w:b/>
                <w:color w:val="B42318"/>
                <w:sz w:val="21"/>
              </w:rPr>
              <w:t xml:space="preserve">验收建议  </w:t>
            </w:r>
            <w:r>
              <w:rPr>
                <w:rFonts w:ascii="Aptos" w:hAnsi="Aptos" w:eastAsia="SimSun" w:cs="Aptos"/>
                <w:color w:val="344054"/>
                <w:sz w:val="21"/>
              </w:rPr>
              <w:t>“Code Agent命中率95%”必须注明：按Token还是请求计算、是否只统计可缓存前缀、包含哪些缓存层、是否排除首轮冷启动、是否计入负收益命中。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10. 研究问题与工作假设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800"/>
        <w:gridCol w:w="2800"/>
        <w:gridCol w:w="3300"/>
        <w:gridCol w:w="2500"/>
      </w:tblGrid>
      <w:tr>
        <w:trPr>
          <w:cantSplit/>
          <w:tblHeader w:val="true"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编号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研究问题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初始假设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RQ1</w:t>
            </w:r>
          </w:p>
        </w:tc>
        <w:tc>
          <w:tcPr>
            <w:tcW w:type="dxa" w:w="28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Code Agent重复主要来自哪里？</w:t>
            </w:r>
          </w:p>
        </w:tc>
        <w:tc>
          <w:tcPr>
            <w:tcW w:type="dxa" w:w="33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稳定系统/工具前缀与任务内历史是主要来源</w:t>
            </w:r>
          </w:p>
        </w:tc>
        <w:tc>
          <w:tcPr>
            <w:tcW w:type="dxa" w:w="25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Trace组件边界与Token重叠统计</w:t>
            </w:r>
          </w:p>
        </w:tc>
      </w:tr>
      <w:tr>
        <w:trPr>
          <w:cantSplit/>
        </w:trPr>
        <w:tc>
          <w:tcPr>
            <w:tcW w:type="dxa" w:w="8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RQ2</w:t>
            </w:r>
          </w:p>
        </w:tc>
        <w:tc>
          <w:tcPr>
            <w:tcW w:type="dxa" w:w="28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如何提高可安全复用比例？</w:t>
            </w:r>
          </w:p>
        </w:tc>
        <w:tc>
          <w:tcPr>
            <w:tcW w:type="dxa" w:w="33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稳定内容前置和固定排序优于单纯扩大缓存</w:t>
            </w:r>
          </w:p>
        </w:tc>
        <w:tc>
          <w:tcPr>
            <w:tcW w:type="dxa" w:w="25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同Trace不同Prompt布局对照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RQ3</w:t>
            </w:r>
          </w:p>
        </w:tc>
        <w:tc>
          <w:tcPr>
            <w:tcW w:type="dxa" w:w="28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读取缓存何时优于重算？</w:t>
            </w:r>
          </w:p>
        </w:tc>
        <w:tc>
          <w:tcPr>
            <w:tcW w:type="dxa" w:w="33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存在由块大小、层级、带宽和模型决定的收益边界</w:t>
            </w:r>
          </w:p>
        </w:tc>
        <w:tc>
          <w:tcPr>
            <w:tcW w:type="dxa" w:w="25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读取/恢复/重算微基准</w:t>
            </w:r>
          </w:p>
        </w:tc>
      </w:tr>
      <w:tr>
        <w:trPr>
          <w:cantSplit/>
        </w:trPr>
        <w:tc>
          <w:tcPr>
            <w:tcW w:type="dxa" w:w="8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RQ4</w:t>
            </w:r>
          </w:p>
        </w:tc>
        <w:tc>
          <w:tcPr>
            <w:tcW w:type="dxa" w:w="28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局部代码变化后哪些KV仍有效？</w:t>
            </w:r>
          </w:p>
        </w:tc>
        <w:tc>
          <w:tcPr>
            <w:tcW w:type="dxa" w:w="33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依赖感知失效可保留部分缓存，但任意文本复用不安全</w:t>
            </w:r>
          </w:p>
        </w:tc>
        <w:tc>
          <w:tcPr>
            <w:tcW w:type="dxa" w:w="25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受控文件修改实验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RQ5</w:t>
            </w:r>
          </w:p>
        </w:tc>
        <w:tc>
          <w:tcPr>
            <w:tcW w:type="dxa" w:w="28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低精度是否改善端到端收益？</w:t>
            </w:r>
          </w:p>
        </w:tc>
        <w:tc>
          <w:tcPr>
            <w:tcW w:type="dxa" w:w="33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容量与带宽收益可能被量化开销或质量损失抵消</w:t>
            </w:r>
          </w:p>
        </w:tc>
        <w:tc>
          <w:tcPr>
            <w:tcW w:type="dxa" w:w="25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FP16/FP8/更低比特消融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上述内容均为可证伪的工作假设。后续报告必须把“算法声称”“框架能力”和“本项目实测结果”分栏呈现，避免引用他人系统数字替代本项目数据。</w:t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11. 下一阶段：项目定义与Trace准备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11.1 必须由项目方补充的输入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目标Code Agent产品或内部系统、Agent控制器和Prompt构建方式。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目标模型、权重版本、Tokenizer、推理框架和部署拓扑。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“Hybrid”“TensorQuant”的内部定义或技术规范。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可获得的真实请求Trace、脱敏要求和多租户安全边界。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当前硬件：GPU、CPU、DRAM、NVMe、网络与远端存储。</w:t>
      </w:r>
    </w:p>
    <w:p>
      <w:pPr>
        <w:pStyle w:val="ListBullet"/>
        <w:keepNext w:val="0"/>
        <w:widowControl/>
        <w:spacing w:before="0" w:after="80" w:line="300" w:lineRule="auto"/>
        <w:ind w:left="720" w:hanging="360"/>
        <w:jc w:val="left"/>
      </w:pPr>
      <w:r>
        <w:rPr>
          <w:rFonts w:ascii="Aptos" w:hAnsi="Aptos" w:eastAsia="SimSun" w:cs="Aptos"/>
          <w:sz w:val="21"/>
        </w:rPr>
        <w:t>验收指标的精确定义、统计窗口和基线成本口径。</w:t>
      </w:r>
    </w:p>
    <w:p>
      <w:pPr>
        <w:pStyle w:val="Heading2"/>
        <w:keepNext/>
        <w:widowControl/>
        <w:spacing w:before="240" w:after="120" w:line="276" w:lineRule="auto"/>
        <w:jc w:val="left"/>
      </w:pPr>
      <w:r>
        <w:rPr>
          <w:rFonts w:ascii="Aptos" w:hAnsi="Aptos" w:eastAsia="Microsoft YaHei" w:cs="Aptos"/>
          <w:b/>
          <w:color w:val="1F4E79"/>
          <w:sz w:val="26"/>
        </w:rPr>
        <w:t>11.2 下一阶段工作包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100"/>
        <w:gridCol w:w="2800"/>
        <w:gridCol w:w="5500"/>
      </w:tblGrid>
      <w:tr>
        <w:trPr>
          <w:cantSplit/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工作包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产出</w:t>
            </w:r>
          </w:p>
        </w:tc>
        <w:tc>
          <w:tcPr>
            <w:tcW w:type="dxa" w:w="5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关键内容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WP1</w:t>
            </w:r>
          </w:p>
        </w:tc>
        <w:tc>
          <w:tcPr>
            <w:tcW w:type="dxa" w:w="28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项目定义书</w:t>
            </w:r>
          </w:p>
        </w:tc>
        <w:tc>
          <w:tcPr>
            <w:tcW w:type="dxa" w:w="55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场景、范围、模型、硬件、SLO和安全边界</w:t>
            </w:r>
          </w:p>
        </w:tc>
      </w:tr>
      <w:tr>
        <w:trPr>
          <w:cantSplit/>
        </w:trPr>
        <w:tc>
          <w:tcPr>
            <w:tcW w:type="dxa" w:w="11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WP2</w:t>
            </w:r>
          </w:p>
        </w:tc>
        <w:tc>
          <w:tcPr>
            <w:tcW w:type="dxa" w:w="28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Trace规范</w:t>
            </w:r>
          </w:p>
        </w:tc>
        <w:tc>
          <w:tcPr>
            <w:tcW w:type="dxa" w:w="55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请求、组件边界、工具调用、仓库版本和性能字段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WP3</w:t>
            </w:r>
          </w:p>
        </w:tc>
        <w:tc>
          <w:tcPr>
            <w:tcW w:type="dxa" w:w="28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Replay Harness</w:t>
            </w:r>
          </w:p>
        </w:tc>
        <w:tc>
          <w:tcPr>
            <w:tcW w:type="dxa" w:w="55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按原顺序重放Trace并切换缓存策略</w:t>
            </w:r>
          </w:p>
        </w:tc>
      </w:tr>
      <w:tr>
        <w:trPr>
          <w:cantSplit/>
        </w:trPr>
        <w:tc>
          <w:tcPr>
            <w:tcW w:type="dxa" w:w="11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WP4</w:t>
            </w:r>
          </w:p>
        </w:tc>
        <w:tc>
          <w:tcPr>
            <w:tcW w:type="dxa" w:w="28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基线实验</w:t>
            </w:r>
          </w:p>
        </w:tc>
        <w:tc>
          <w:tcPr>
            <w:tcW w:type="dxa" w:w="55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无缓存、精确前缀、不同缓存容量与并发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WP5</w:t>
            </w:r>
          </w:p>
        </w:tc>
        <w:tc>
          <w:tcPr>
            <w:tcW w:type="dxa" w:w="28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命中率可行性报告</w:t>
            </w:r>
          </w:p>
        </w:tc>
        <w:tc>
          <w:tcPr>
            <w:tcW w:type="dxa" w:w="55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验证70%/95%目标在何种口径和工作负载下成立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</w:tblBorders>
      </w:tblPr>
      <w:tblGrid>
        <w:gridCol w:w="9400"/>
      </w:tblGrid>
      <w:tr>
        <w:trPr>
          <w:cantSplit/>
        </w:trPr>
        <w:tc>
          <w:tcPr>
            <w:tcW w:type="dxa" w:w="9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FF2E1"/>
          </w:tcPr>
          <w:p>
            <w:pPr>
              <w:keepNext w:val="0"/>
              <w:widowControl/>
              <w:spacing w:before="40" w:after="40" w:line="312" w:lineRule="auto"/>
              <w:jc w:val="left"/>
            </w:pPr>
            <w:r>
              <w:rPr>
                <w:rFonts w:ascii="Aptos" w:hAnsi="Aptos" w:eastAsia="Microsoft YaHei" w:cs="Aptos"/>
                <w:b/>
                <w:color w:val="2E7D32"/>
                <w:sz w:val="21"/>
              </w:rPr>
              <w:t xml:space="preserve">立即行动  </w:t>
            </w:r>
            <w:r>
              <w:rPr>
                <w:rFonts w:ascii="Aptos" w:hAnsi="Aptos" w:eastAsia="SimSun" w:cs="Aptos"/>
                <w:color w:val="344054"/>
                <w:sz w:val="21"/>
              </w:rPr>
              <w:t>下一步先填写《项目定义与技术指标确认表》，同时制作Code Agent Trace字段模板；在收到模型、框架和硬件信息前不锁定最终系统架构。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12. 结论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Code Agent的本质是“模型决策—工具行动—观察反馈”的多轮软件工程系统。它天然产生长Prompt和大量上下文延续，为KVCache复用提供了重要机会；但可复用性取决于Token前缀、模型配置、位置与前置上下文，而不是简单的文本相似。</w:t>
      </w:r>
    </w:p>
    <w:p>
      <w:pPr>
        <w:keepNext w:val="0"/>
        <w:widowControl/>
        <w:spacing w:before="0" w:after="120" w:line="324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  <w:t>本项目最稳妥的路线是：先以精确前缀缓存和Prompt规范化建立可复现基线，再引入分层存储、收益感知调度和低精度传输，最后研究局部变更后的增量失效与受控非前缀复用。项目材料中的70%、95%、90%和10%应在真实Trace和统一指标口径下验证，而不是在立项阶段预设为已证事实。</w:t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附录A  Code Agent Trace建议字段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550"/>
        <w:gridCol w:w="5000"/>
        <w:gridCol w:w="2850"/>
      </w:tblGrid>
      <w:tr>
        <w:trPr>
          <w:cantSplit/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类别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建议字段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请求身份</w:t>
            </w:r>
          </w:p>
        </w:tc>
        <w:tc>
          <w:tcPr>
            <w:tcW w:type="dxa" w:w="5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request_id、session_id、tenant_id、agent_id、时间戳</w:t>
            </w:r>
          </w:p>
        </w:tc>
        <w:tc>
          <w:tcPr>
            <w:tcW w:type="dxa" w:w="28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关联请求但避免保存直接个人信息</w:t>
            </w:r>
          </w:p>
        </w:tc>
      </w:tr>
      <w:tr>
        <w:trPr>
          <w:cantSplit/>
        </w:trPr>
        <w:tc>
          <w:tcPr>
            <w:tcW w:type="dxa" w:w="15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模型配置</w:t>
            </w:r>
          </w:p>
        </w:tc>
        <w:tc>
          <w:tcPr>
            <w:tcW w:type="dxa" w:w="5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model_id、revision、tokenizer、adapter、attention_type、dtype</w:t>
            </w:r>
          </w:p>
        </w:tc>
        <w:tc>
          <w:tcPr>
            <w:tcW w:type="dxa" w:w="2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确定KV兼容域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Prompt边界</w:t>
            </w:r>
          </w:p>
        </w:tc>
        <w:tc>
          <w:tcPr>
            <w:tcW w:type="dxa" w:w="5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系统、工具、规则、文件、历史、当前任务的Token起止位置</w:t>
            </w:r>
          </w:p>
        </w:tc>
        <w:tc>
          <w:tcPr>
            <w:tcW w:type="dxa" w:w="28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计算各组件重复与命中</w:t>
            </w:r>
          </w:p>
        </w:tc>
      </w:tr>
      <w:tr>
        <w:trPr>
          <w:cantSplit/>
        </w:trPr>
        <w:tc>
          <w:tcPr>
            <w:tcW w:type="dxa" w:w="15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仓库状态</w:t>
            </w:r>
          </w:p>
        </w:tc>
        <w:tc>
          <w:tcPr>
            <w:tcW w:type="dxa" w:w="5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repo_id、commit、工作树diff摘要、文件版本</w:t>
            </w:r>
          </w:p>
        </w:tc>
        <w:tc>
          <w:tcPr>
            <w:tcW w:type="dxa" w:w="2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支持局部变化和失效分析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Agent步骤</w:t>
            </w:r>
          </w:p>
        </w:tc>
        <w:tc>
          <w:tcPr>
            <w:tcW w:type="dxa" w:w="5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step_id、tool_name、tool_args摘要、tool_result长度、状态</w:t>
            </w:r>
          </w:p>
        </w:tc>
        <w:tc>
          <w:tcPr>
            <w:tcW w:type="dxa" w:w="28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还原任务闭环</w:t>
            </w:r>
          </w:p>
        </w:tc>
      </w:tr>
      <w:tr>
        <w:trPr>
          <w:cantSplit/>
        </w:trPr>
        <w:tc>
          <w:tcPr>
            <w:tcW w:type="dxa" w:w="15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缓存事件</w:t>
            </w:r>
          </w:p>
        </w:tc>
        <w:tc>
          <w:tcPr>
            <w:tcW w:type="dxa" w:w="5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lookup/store/hit层级、块ID、命中Token、读写字节、耗时</w:t>
            </w:r>
          </w:p>
        </w:tc>
        <w:tc>
          <w:tcPr>
            <w:tcW w:type="dxa" w:w="2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计算逻辑与有效命中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推理性能</w:t>
            </w:r>
          </w:p>
        </w:tc>
        <w:tc>
          <w:tcPr>
            <w:tcW w:type="dxa" w:w="50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prompt_tokens、prefill、TTFT、decode、GPU时间、队列时间</w:t>
            </w:r>
          </w:p>
        </w:tc>
        <w:tc>
          <w:tcPr>
            <w:tcW w:type="dxa" w:w="285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端到端性能评估</w:t>
            </w:r>
          </w:p>
        </w:tc>
      </w:tr>
      <w:tr>
        <w:trPr>
          <w:cantSplit/>
        </w:trPr>
        <w:tc>
          <w:tcPr>
            <w:tcW w:type="dxa" w:w="15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center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质量结果</w:t>
            </w:r>
          </w:p>
        </w:tc>
        <w:tc>
          <w:tcPr>
            <w:tcW w:type="dxa" w:w="50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测试通过、补丁接受、输出一致性、错误类型</w:t>
            </w:r>
          </w:p>
        </w:tc>
        <w:tc>
          <w:tcPr>
            <w:tcW w:type="dxa" w:w="285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7"/>
              </w:rPr>
              <w:t>防止低精度或错误复用损害质量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附录B  关键术语</w:t>
      </w:r>
    </w:p>
    <w:tbl>
      <w:tblPr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200"/>
        <w:gridCol w:w="7200"/>
      </w:tblGrid>
      <w:tr>
        <w:trPr>
          <w:cantSplit/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术语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keepNext w:val="0"/>
              <w:widowControl/>
              <w:spacing w:before="20" w:after="20" w:line="276" w:lineRule="auto"/>
              <w:jc w:val="center"/>
            </w:pPr>
            <w:r>
              <w:rPr>
                <w:rFonts w:ascii="Aptos" w:hAnsi="Aptos" w:eastAsia="Microsoft YaHei" w:cs="Aptos"/>
                <w:b/>
                <w:color w:val="17365D"/>
                <w:sz w:val="18"/>
              </w:rPr>
              <w:t>本报告中的含义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Code Agent</w:t>
            </w:r>
          </w:p>
        </w:tc>
        <w:tc>
          <w:tcPr>
            <w:tcW w:type="dxa" w:w="7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能够围绕软件工程目标进行多轮模型决策和工具行动的智能体系统。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Prefill</w:t>
            </w:r>
          </w:p>
        </w:tc>
        <w:tc>
          <w:tcPr>
            <w:tcW w:type="dxa" w:w="7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处理输入Prompt并生成各层历史Token KV状态的阶段。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Decode</w:t>
            </w:r>
          </w:p>
        </w:tc>
        <w:tc>
          <w:tcPr>
            <w:tcW w:type="dxa" w:w="7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基于已有KVCache逐Token生成输出的阶段。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KVCache</w:t>
            </w:r>
          </w:p>
        </w:tc>
        <w:tc>
          <w:tcPr>
            <w:tcW w:type="dxa" w:w="7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缓存注意力层历史Key与Value，避免生成时重复计算。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Prefix Cache</w:t>
            </w:r>
          </w:p>
        </w:tc>
        <w:tc>
          <w:tcPr>
            <w:tcW w:type="dxa" w:w="7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复用与新请求具有完全相同Token前缀的KV状态。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TTFT</w:t>
            </w:r>
          </w:p>
        </w:tc>
        <w:tc>
          <w:tcPr>
            <w:tcW w:type="dxa" w:w="7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Time to First Token，从请求到首个输出Token的时间。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Trace</w:t>
            </w:r>
          </w:p>
        </w:tc>
        <w:tc>
          <w:tcPr>
            <w:tcW w:type="dxa" w:w="7200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按时间记录请求、上下文、工具事件、缓存事件与性能的轨迹。</w:t>
            </w:r>
          </w:p>
        </w:tc>
      </w:tr>
      <w:tr>
        <w:trPr>
          <w:cantSplit/>
        </w:trPr>
        <w:tc>
          <w:tcPr>
            <w:tcW w:type="dxa" w:w="2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/>
                <w:color w:val="344054"/>
                <w:sz w:val="18"/>
              </w:rPr>
              <w:t>有效命中</w:t>
            </w:r>
          </w:p>
        </w:tc>
        <w:tc>
          <w:tcPr>
            <w:tcW w:type="dxa" w:w="7200"/>
            <w:shd w:fill="FAFBFC"/>
          </w:tcPr>
          <w:p>
            <w:pPr>
              <w:keepNext w:val="0"/>
              <w:widowControl/>
              <w:spacing w:before="20" w:after="20" w:line="283" w:lineRule="auto"/>
              <w:jc w:val="left"/>
            </w:pPr>
            <w:r>
              <w:rPr>
                <w:rFonts w:ascii="Aptos" w:hAnsi="Aptos" w:eastAsia="SimSun" w:cs="Aptos"/>
                <w:b w:val="0"/>
                <w:color w:val="344054"/>
                <w:sz w:val="18"/>
              </w:rPr>
              <w:t>读取与恢复缓存的总成本小于重算成本的命中。</w:t>
            </w:r>
          </w:p>
        </w:tc>
      </w:tr>
    </w:tbl>
    <w:p>
      <w:pPr>
        <w:keepNext w:val="0"/>
        <w:widowControl/>
        <w:spacing w:before="0" w:after="40" w:line="240" w:lineRule="auto"/>
        <w:jc w:val="both"/>
      </w:pPr>
      <w:r>
        <w:rPr>
          <w:rFonts w:ascii="Aptos" w:hAnsi="Aptos" w:eastAsia="SimSun" w:cs="Aptos"/>
          <w:b w:val="0"/>
          <w:i w:val="0"/>
          <w:sz w:val="21"/>
        </w:rPr>
      </w:r>
    </w:p>
    <w:p>
      <w:pPr>
        <w:pStyle w:val="Heading1"/>
        <w:keepNext/>
        <w:widowControl/>
        <w:spacing w:before="320" w:after="160" w:line="276" w:lineRule="auto"/>
        <w:jc w:val="left"/>
      </w:pPr>
      <w:r>
        <w:rPr>
          <w:rFonts w:ascii="Aptos" w:hAnsi="Aptos" w:eastAsia="Microsoft YaHei" w:cs="Aptos"/>
          <w:b/>
          <w:color w:val="17365D"/>
          <w:sz w:val="32"/>
        </w:rPr>
        <w:t>参考文献与官方资料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[1] </w:t>
      </w:r>
      <w:r>
        <w:rPr>
          <w:rFonts w:ascii="Aptos" w:hAnsi="Aptos" w:eastAsia="SimSun" w:cs="Aptos"/>
          <w:color w:val="344054"/>
          <w:sz w:val="18"/>
        </w:rPr>
        <w:t xml:space="preserve">Yang, J. et al. SWE-agent: Agent-Computer Interfaces Enable Automated Software Engineering. 2024. </w:t>
      </w:r>
      <w:hyperlink r:id="rId14">
        <w:r>
          <w:rPr>
            <w:rFonts w:ascii="Aptos" w:hAnsi="Aptos" w:eastAsia="SimSun"/>
            <w:color w:val="1F4E79"/>
            <w:u w:val="single"/>
            <w:sz w:val="19"/>
          </w:rPr>
          <w:t>https://arxiv.org/abs/2405.15793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[2] </w:t>
      </w:r>
      <w:r>
        <w:rPr>
          <w:rFonts w:ascii="Aptos" w:hAnsi="Aptos" w:eastAsia="SimSun" w:cs="Aptos"/>
          <w:color w:val="344054"/>
          <w:sz w:val="18"/>
        </w:rPr>
        <w:t xml:space="preserve">Jimenez, C. E. et al. SWE-bench: Can Language Models Resolve Real-World GitHub Issues? ICLR 2024. </w:t>
      </w:r>
      <w:hyperlink r:id="rId15">
        <w:r>
          <w:rPr>
            <w:rFonts w:ascii="Aptos" w:hAnsi="Aptos" w:eastAsia="SimSun"/>
            <w:color w:val="1F4E79"/>
            <w:u w:val="single"/>
            <w:sz w:val="19"/>
          </w:rPr>
          <w:t>https://arxiv.org/abs/2310.06770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[3] </w:t>
      </w:r>
      <w:r>
        <w:rPr>
          <w:rFonts w:ascii="Aptos" w:hAnsi="Aptos" w:eastAsia="SimSun" w:cs="Aptos"/>
          <w:color w:val="344054"/>
          <w:sz w:val="18"/>
        </w:rPr>
        <w:t xml:space="preserve">Wang, X. et al. OpenHands: An Open Platform for AI Software Developers as Generalist Agents. ICLR 2025. </w:t>
      </w:r>
      <w:hyperlink r:id="rId16">
        <w:r>
          <w:rPr>
            <w:rFonts w:ascii="Aptos" w:hAnsi="Aptos" w:eastAsia="SimSun"/>
            <w:color w:val="1F4E79"/>
            <w:u w:val="single"/>
            <w:sz w:val="19"/>
          </w:rPr>
          <w:t>https://arxiv.org/abs/2407.16741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[4] </w:t>
      </w:r>
      <w:r>
        <w:rPr>
          <w:rFonts w:ascii="Aptos" w:hAnsi="Aptos" w:eastAsia="SimSun" w:cs="Aptos"/>
          <w:color w:val="344054"/>
          <w:sz w:val="18"/>
        </w:rPr>
        <w:t xml:space="preserve">Anthropic. Claude Code Overview. 官方文档，访问日期：2026-08-24. </w:t>
      </w:r>
      <w:hyperlink r:id="rId17">
        <w:r>
          <w:rPr>
            <w:rFonts w:ascii="Aptos" w:hAnsi="Aptos" w:eastAsia="SimSun"/>
            <w:color w:val="1F4E79"/>
            <w:u w:val="single"/>
            <w:sz w:val="19"/>
          </w:rPr>
          <w:t>https://code.claude.com/docs/en/overview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[5] </w:t>
      </w:r>
      <w:r>
        <w:rPr>
          <w:rFonts w:ascii="Aptos" w:hAnsi="Aptos" w:eastAsia="SimSun" w:cs="Aptos"/>
          <w:color w:val="344054"/>
          <w:sz w:val="18"/>
        </w:rPr>
        <w:t xml:space="preserve">Kwon, W. et al. Efficient Memory Management for Large Language Model Serving with PagedAttention. SOSP 2023. </w:t>
      </w:r>
      <w:hyperlink r:id="rId18">
        <w:r>
          <w:rPr>
            <w:rFonts w:ascii="Aptos" w:hAnsi="Aptos" w:eastAsia="SimSun"/>
            <w:color w:val="1F4E79"/>
            <w:u w:val="single"/>
            <w:sz w:val="19"/>
          </w:rPr>
          <w:t>https://arxiv.org/abs/2309.06180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[6] </w:t>
      </w:r>
      <w:r>
        <w:rPr>
          <w:rFonts w:ascii="Aptos" w:hAnsi="Aptos" w:eastAsia="SimSun" w:cs="Aptos"/>
          <w:color w:val="344054"/>
          <w:sz w:val="18"/>
        </w:rPr>
        <w:t xml:space="preserve">Zheng, L. et al. SGLang: Efficient Execution of Structured Language Model Programs. NeurIPS 2024. </w:t>
      </w:r>
      <w:hyperlink r:id="rId19">
        <w:r>
          <w:rPr>
            <w:rFonts w:ascii="Aptos" w:hAnsi="Aptos" w:eastAsia="SimSun"/>
            <w:color w:val="1F4E79"/>
            <w:u w:val="single"/>
            <w:sz w:val="19"/>
          </w:rPr>
          <w:t>https://proceedings.neurips.cc/paper_files/paper/2024/hash/724be4472168f31ba1c9ac630f15dec8-Abstract-Conference.html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[7] </w:t>
      </w:r>
      <w:r>
        <w:rPr>
          <w:rFonts w:ascii="Aptos" w:hAnsi="Aptos" w:eastAsia="SimSun" w:cs="Aptos"/>
          <w:color w:val="344054"/>
          <w:sz w:val="18"/>
        </w:rPr>
        <w:t xml:space="preserve">Gim, I. et al. Prompt Cache: Modular Attention Reuse for Low-Latency Inference. MLSys 2024. </w:t>
      </w:r>
      <w:hyperlink r:id="rId20">
        <w:r>
          <w:rPr>
            <w:rFonts w:ascii="Aptos" w:hAnsi="Aptos" w:eastAsia="SimSun"/>
            <w:color w:val="1F4E79"/>
            <w:u w:val="single"/>
            <w:sz w:val="19"/>
          </w:rPr>
          <w:t>https://arxiv.org/abs/2311.04934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[8] </w:t>
      </w:r>
      <w:r>
        <w:rPr>
          <w:rFonts w:ascii="Aptos" w:hAnsi="Aptos" w:eastAsia="SimSun" w:cs="Aptos"/>
          <w:color w:val="344054"/>
          <w:sz w:val="18"/>
        </w:rPr>
        <w:t xml:space="preserve">Yao, J. et al. CacheBlend: Fast Large Language Model Serving for RAG with Cached Knowledge Fusion. 2024. </w:t>
      </w:r>
      <w:hyperlink r:id="rId21">
        <w:r>
          <w:rPr>
            <w:rFonts w:ascii="Aptos" w:hAnsi="Aptos" w:eastAsia="SimSun"/>
            <w:color w:val="1F4E79"/>
            <w:u w:val="single"/>
            <w:sz w:val="19"/>
          </w:rPr>
          <w:t>https://arxiv.org/abs/2405.16444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[9] </w:t>
      </w:r>
      <w:r>
        <w:rPr>
          <w:rFonts w:ascii="Aptos" w:hAnsi="Aptos" w:eastAsia="SimSun" w:cs="Aptos"/>
          <w:color w:val="344054"/>
          <w:sz w:val="18"/>
        </w:rPr>
        <w:t xml:space="preserve">Qin, R. et al. Mooncake: Trading More Storage for Less Computation—A KVCache-centric Architecture for Serving LLM Chatbot. FAST 2025. </w:t>
      </w:r>
      <w:hyperlink r:id="rId22">
        <w:r>
          <w:rPr>
            <w:rFonts w:ascii="Aptos" w:hAnsi="Aptos" w:eastAsia="SimSun"/>
            <w:color w:val="1F4E79"/>
            <w:u w:val="single"/>
            <w:sz w:val="19"/>
          </w:rPr>
          <w:t>https://www.usenix.org/conference/fast25/presentation/qin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[10] </w:t>
      </w:r>
      <w:r>
        <w:rPr>
          <w:rFonts w:ascii="Aptos" w:hAnsi="Aptos" w:eastAsia="SimSun" w:cs="Aptos"/>
          <w:color w:val="344054"/>
          <w:sz w:val="18"/>
        </w:rPr>
        <w:t xml:space="preserve">Liu, Y. et al. CacheGen: KV Cache Compression and Streaming for Fast Large Language Model Serving. SIGCOMM 2024. </w:t>
      </w:r>
      <w:hyperlink r:id="rId23">
        <w:r>
          <w:rPr>
            <w:rFonts w:ascii="Aptos" w:hAnsi="Aptos" w:eastAsia="SimSun"/>
            <w:color w:val="1F4E79"/>
            <w:u w:val="single"/>
            <w:sz w:val="19"/>
          </w:rPr>
          <w:t>https://arxiv.org/abs/2310.07240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[11] </w:t>
      </w:r>
      <w:r>
        <w:rPr>
          <w:rFonts w:ascii="Aptos" w:hAnsi="Aptos" w:eastAsia="SimSun" w:cs="Aptos"/>
          <w:color w:val="344054"/>
          <w:sz w:val="18"/>
        </w:rPr>
        <w:t xml:space="preserve">Cheng, Y. et al. LMCache: An Efficient KV Cache Layer for Enterprise-Scale LLM Inference. 2025. </w:t>
      </w:r>
      <w:hyperlink r:id="rId24">
        <w:r>
          <w:rPr>
            <w:rFonts w:ascii="Aptos" w:hAnsi="Aptos" w:eastAsia="SimSun"/>
            <w:color w:val="1F4E79"/>
            <w:u w:val="single"/>
            <w:sz w:val="19"/>
          </w:rPr>
          <w:t>https://arxiv.org/abs/2510.09665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[12] </w:t>
      </w:r>
      <w:r>
        <w:rPr>
          <w:rFonts w:ascii="Aptos" w:hAnsi="Aptos" w:eastAsia="SimSun" w:cs="Aptos"/>
          <w:color w:val="344054"/>
          <w:sz w:val="18"/>
        </w:rPr>
        <w:t xml:space="preserve">Ainslie, J. et al. GQA: Training Generalized Multi-Query Transformer Models from Multi-Head Checkpoints. EMNLP 2023. </w:t>
      </w:r>
      <w:hyperlink r:id="rId25">
        <w:r>
          <w:rPr>
            <w:rFonts w:ascii="Aptos" w:hAnsi="Aptos" w:eastAsia="SimSun"/>
            <w:color w:val="1F4E79"/>
            <w:u w:val="single"/>
            <w:sz w:val="19"/>
          </w:rPr>
          <w:t>https://aclanthology.org/2023.emnlp-main.298/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[13] </w:t>
      </w:r>
      <w:r>
        <w:rPr>
          <w:rFonts w:ascii="Aptos" w:hAnsi="Aptos" w:eastAsia="SimSun" w:cs="Aptos"/>
          <w:color w:val="344054"/>
          <w:sz w:val="18"/>
        </w:rPr>
        <w:t xml:space="preserve">DeepSeek-AI. DeepSeek-V2: A Strong, Economical, and Efficient Mixture-of-Experts Language Model. 2024. </w:t>
      </w:r>
      <w:hyperlink r:id="rId26">
        <w:r>
          <w:rPr>
            <w:rFonts w:ascii="Aptos" w:hAnsi="Aptos" w:eastAsia="SimSun"/>
            <w:color w:val="1F4E79"/>
            <w:u w:val="single"/>
            <w:sz w:val="19"/>
          </w:rPr>
          <w:t>https://arxiv.org/abs/2405.04434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[14] </w:t>
      </w:r>
      <w:r>
        <w:rPr>
          <w:rFonts w:ascii="Aptos" w:hAnsi="Aptos" w:eastAsia="SimSun" w:cs="Aptos"/>
          <w:color w:val="344054"/>
          <w:sz w:val="18"/>
        </w:rPr>
        <w:t xml:space="preserve">DeepSeek-AI. DeepSeek-V3.2: Pushing the Frontier of Open Large Language Models. 2025. </w:t>
      </w:r>
      <w:hyperlink r:id="rId27">
        <w:r>
          <w:rPr>
            <w:rFonts w:ascii="Aptos" w:hAnsi="Aptos" w:eastAsia="SimSun"/>
            <w:color w:val="1F4E79"/>
            <w:u w:val="single"/>
            <w:sz w:val="19"/>
          </w:rPr>
          <w:t>https://arxiv.org/abs/2512.02556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[15] </w:t>
      </w:r>
      <w:r>
        <w:rPr>
          <w:rFonts w:ascii="Aptos" w:hAnsi="Aptos" w:eastAsia="SimSun" w:cs="Aptos"/>
          <w:color w:val="344054"/>
          <w:sz w:val="18"/>
        </w:rPr>
        <w:t xml:space="preserve">Liu, Z. et al. KIVI: A Tuning-Free Asymmetric 2bit Quantization for KV Cache. ICML 2024. </w:t>
      </w:r>
      <w:hyperlink r:id="rId28">
        <w:r>
          <w:rPr>
            <w:rFonts w:ascii="Aptos" w:hAnsi="Aptos" w:eastAsia="SimSun"/>
            <w:color w:val="1F4E79"/>
            <w:u w:val="single"/>
            <w:sz w:val="19"/>
          </w:rPr>
          <w:t>https://arxiv.org/abs/2402.02750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[16] </w:t>
      </w:r>
      <w:r>
        <w:rPr>
          <w:rFonts w:ascii="Aptos" w:hAnsi="Aptos" w:eastAsia="SimSun" w:cs="Aptos"/>
          <w:color w:val="344054"/>
          <w:sz w:val="18"/>
        </w:rPr>
        <w:t xml:space="preserve">Hooper, C. et al. KVQuant: Towards 10 Million Context Length LLM Inference with KV Cache Quantization. NeurIPS 2024. </w:t>
      </w:r>
      <w:hyperlink r:id="rId29">
        <w:r>
          <w:rPr>
            <w:rFonts w:ascii="Aptos" w:hAnsi="Aptos" w:eastAsia="SimSun"/>
            <w:color w:val="1F4E79"/>
            <w:u w:val="single"/>
            <w:sz w:val="19"/>
          </w:rPr>
          <w:t>https://arxiv.org/abs/2401.18079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[17] </w:t>
      </w:r>
      <w:r>
        <w:rPr>
          <w:rFonts w:ascii="Aptos" w:hAnsi="Aptos" w:eastAsia="SimSun" w:cs="Aptos"/>
          <w:color w:val="344054"/>
          <w:sz w:val="18"/>
        </w:rPr>
        <w:t xml:space="preserve">vLLM Project. Automatic Prefix Caching Design. 官方文档，访问日期：2026-08-24. </w:t>
      </w:r>
      <w:hyperlink r:id="rId30">
        <w:r>
          <w:rPr>
            <w:rFonts w:ascii="Aptos" w:hAnsi="Aptos" w:eastAsia="SimSun"/>
            <w:color w:val="1F4E79"/>
            <w:u w:val="single"/>
            <w:sz w:val="19"/>
          </w:rPr>
          <w:t>https://docs.vllm.ai/en/latest/design/prefix_caching/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[18] </w:t>
      </w:r>
      <w:r>
        <w:rPr>
          <w:rFonts w:ascii="Aptos" w:hAnsi="Aptos" w:eastAsia="SimSun" w:cs="Aptos"/>
          <w:color w:val="344054"/>
          <w:sz w:val="18"/>
        </w:rPr>
        <w:t xml:space="preserve">SGLang Project. HiCache System Design and Optimization. 官方文档，访问日期：2026-08-24. </w:t>
      </w:r>
      <w:hyperlink r:id="rId31">
        <w:r>
          <w:rPr>
            <w:rFonts w:ascii="Aptos" w:hAnsi="Aptos" w:eastAsia="SimSun"/>
            <w:color w:val="1F4E79"/>
            <w:u w:val="single"/>
            <w:sz w:val="19"/>
          </w:rPr>
          <w:t>https://docs.sglang.ai/advanced_features/hicache_design.html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[19] </w:t>
      </w:r>
      <w:r>
        <w:rPr>
          <w:rFonts w:ascii="Aptos" w:hAnsi="Aptos" w:eastAsia="SimSun" w:cs="Aptos"/>
          <w:color w:val="344054"/>
          <w:sz w:val="18"/>
        </w:rPr>
        <w:t xml:space="preserve">LMCache Project. Metrics Reference. 官方文档，访问日期：2026-08-24. </w:t>
      </w:r>
      <w:hyperlink r:id="rId32">
        <w:r>
          <w:rPr>
            <w:rFonts w:ascii="Aptos" w:hAnsi="Aptos" w:eastAsia="SimSun"/>
            <w:color w:val="1F4E79"/>
            <w:u w:val="single"/>
            <w:sz w:val="19"/>
          </w:rPr>
          <w:t>https://docs.lmcache.ai/production/observability/metrics.html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Aptos" w:hAnsi="Aptos" w:eastAsia="SimSun" w:cs="Aptos"/>
          <w:b/>
          <w:color w:val="17365D"/>
          <w:sz w:val="18"/>
        </w:rPr>
        <w:t xml:space="preserve">[P1] </w:t>
      </w:r>
      <w:r>
        <w:rPr>
          <w:rFonts w:ascii="Aptos" w:hAnsi="Aptos" w:eastAsia="SimSun" w:cs="Aptos"/>
          <w:color w:val="344054"/>
          <w:sz w:val="18"/>
        </w:rPr>
        <w:t>项目材料：《软硬协同的大规模KVCache系统》背景、预计产出与技术指标截图，用户于2026-08-24提供。</w:t>
      </w:r>
    </w:p>
    <w:p>
      <w:pPr>
        <w:keepNext w:val="0"/>
        <w:widowControl/>
        <w:spacing w:before="240" w:after="0" w:line="288" w:lineRule="auto"/>
        <w:jc w:val="left"/>
      </w:pPr>
      <w:r>
        <w:rPr>
          <w:rFonts w:ascii="Aptos" w:hAnsi="Aptos" w:eastAsia="SimSun" w:cs="Aptos"/>
          <w:b w:val="0"/>
          <w:i/>
          <w:color w:val="667085"/>
          <w:sz w:val="18"/>
        </w:rPr>
        <w:t>注：本报告未将项目目标值作为公开文献结论；后续版本将使用真实Trace和基线实验替换工作假设。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87"/>
      <w:gridCol w:w="2324"/>
    </w:tblGrid>
    <w:tr>
      <w:tc>
        <w:tcPr>
          <w:tcW w:type="dxa" w:w="4706"/>
        </w:tcPr>
        <w:p>
          <w:pPr>
            <w:jc w:val="left"/>
          </w:pPr>
          <w:r>
            <w:rPr>
              <w:rFonts w:ascii="Aptos" w:hAnsi="Aptos" w:eastAsia="SimSun" w:cs="Aptos"/>
              <w:color w:val="667085"/>
              <w:sz w:val="17"/>
            </w:rPr>
            <w:t>V1.0 · 2026-08-24</w:t>
          </w:r>
        </w:p>
      </w:tc>
      <w:tc>
        <w:tcPr>
          <w:tcW w:type="dxa" w:w="4706"/>
        </w:tcPr>
        <w:p>
          <w:pPr>
            <w:jc w:val="right"/>
          </w:pPr>
          <w:r>
            <w:rPr>
              <w:rFonts w:ascii="Aptos" w:hAnsi="Aptos" w:eastAsia="SimSun" w:cs="Aptos"/>
              <w:color w:val="667085"/>
              <w:sz w:val="17"/>
            </w:rPr>
            <w:t xml:space="preserve">第 </w:t>
          </w:r>
          <w:fldSimple w:instr="PAGE"/>
          <w:r>
            <w:rPr>
              <w:rFonts w:ascii="Aptos" w:hAnsi="Aptos" w:eastAsia="SimSun" w:cs="Aptos"/>
              <w:color w:val="667085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Microsoft YaHei" w:cs="Aptos"/>
        <w:b/>
        <w:color w:val="667085"/>
        <w:sz w:val="17"/>
      </w:rPr>
      <w:t>CODE AGENT × KVCACHE · 阶段研究报告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24" w:lineRule="auto"/>
    </w:pPr>
    <w:rPr>
      <w:rFonts w:ascii="Aptos" w:hAnsi="Aptos" w:eastAsia="SimSun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34405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Aptos" w:hAnsi="Aptos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Aptos" w:hAnsi="Aptos" w:eastAsia="SimSun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Aptos" w:hAnsi="Aptos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Aptos" w:hAnsi="Aptos" w:eastAsia="SimSun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40"/>
    </w:pPr>
    <w:rPr>
      <w:rFonts w:ascii="Aptos" w:hAnsi="Aptos" w:eastAsia="SimSun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1F4E79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arxiv.org/abs/2405.15793" TargetMode="External"/><Relationship Id="rId15" Type="http://schemas.openxmlformats.org/officeDocument/2006/relationships/hyperlink" Target="https://arxiv.org/abs/2310.06770" TargetMode="External"/><Relationship Id="rId16" Type="http://schemas.openxmlformats.org/officeDocument/2006/relationships/hyperlink" Target="https://arxiv.org/abs/2407.16741" TargetMode="External"/><Relationship Id="rId17" Type="http://schemas.openxmlformats.org/officeDocument/2006/relationships/hyperlink" Target="https://code.claude.com/docs/en/overview" TargetMode="External"/><Relationship Id="rId18" Type="http://schemas.openxmlformats.org/officeDocument/2006/relationships/hyperlink" Target="https://arxiv.org/abs/2309.06180" TargetMode="External"/><Relationship Id="rId19" Type="http://schemas.openxmlformats.org/officeDocument/2006/relationships/hyperlink" Target="https://proceedings.neurips.cc/paper_files/paper/2024/hash/724be4472168f31ba1c9ac630f15dec8-Abstract-Conference.html" TargetMode="External"/><Relationship Id="rId20" Type="http://schemas.openxmlformats.org/officeDocument/2006/relationships/hyperlink" Target="https://arxiv.org/abs/2311.04934" TargetMode="External"/><Relationship Id="rId21" Type="http://schemas.openxmlformats.org/officeDocument/2006/relationships/hyperlink" Target="https://arxiv.org/abs/2405.16444" TargetMode="External"/><Relationship Id="rId22" Type="http://schemas.openxmlformats.org/officeDocument/2006/relationships/hyperlink" Target="https://www.usenix.org/conference/fast25/presentation/qin" TargetMode="External"/><Relationship Id="rId23" Type="http://schemas.openxmlformats.org/officeDocument/2006/relationships/hyperlink" Target="https://arxiv.org/abs/2310.07240" TargetMode="External"/><Relationship Id="rId24" Type="http://schemas.openxmlformats.org/officeDocument/2006/relationships/hyperlink" Target="https://arxiv.org/abs/2510.09665" TargetMode="External"/><Relationship Id="rId25" Type="http://schemas.openxmlformats.org/officeDocument/2006/relationships/hyperlink" Target="https://aclanthology.org/2023.emnlp-main.298/" TargetMode="External"/><Relationship Id="rId26" Type="http://schemas.openxmlformats.org/officeDocument/2006/relationships/hyperlink" Target="https://arxiv.org/abs/2405.04434" TargetMode="External"/><Relationship Id="rId27" Type="http://schemas.openxmlformats.org/officeDocument/2006/relationships/hyperlink" Target="https://arxiv.org/abs/2512.02556" TargetMode="External"/><Relationship Id="rId28" Type="http://schemas.openxmlformats.org/officeDocument/2006/relationships/hyperlink" Target="https://arxiv.org/abs/2402.02750" TargetMode="External"/><Relationship Id="rId29" Type="http://schemas.openxmlformats.org/officeDocument/2006/relationships/hyperlink" Target="https://arxiv.org/abs/2401.18079" TargetMode="External"/><Relationship Id="rId30" Type="http://schemas.openxmlformats.org/officeDocument/2006/relationships/hyperlink" Target="https://docs.vllm.ai/en/latest/design/prefix_caching/" TargetMode="External"/><Relationship Id="rId31" Type="http://schemas.openxmlformats.org/officeDocument/2006/relationships/hyperlink" Target="https://docs.sglang.ai/advanced_features/hicache_design.html" TargetMode="External"/><Relationship Id="rId32" Type="http://schemas.openxmlformats.org/officeDocument/2006/relationships/hyperlink" Target="https://docs.lmcache.ai/production/observability/metri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Agent工作负载与KVCache复用场景分析</dc:title>
  <dc:subject>软硬协同大规模KVCache系统项目阶段研究报告</dc:subject>
  <dc:creator>项目组</dc:creator>
  <cp:keywords>Code Agent, KVCache, Prefix Cache, TTFT, LLM Serving</cp:keywords>
  <dc:description>基于项目材料、同行评议论文与官方技术文档整理。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