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eastAsia="Noto Sans CJK SC"/>
          <w:b/>
          <w:color w:val="2E74B5"/>
          <w:sz w:val="20"/>
        </w:rPr>
        <w:t>STAGE 0-4 / RESEARCH DECISION MEMO</w:t>
      </w:r>
    </w:p>
    <w:p>
      <w:pPr>
        <w:spacing w:after="80"/>
      </w:pPr>
      <w:r>
        <w:rPr>
          <w:rFonts w:ascii="Calibri" w:hAnsi="Calibri" w:eastAsia="Noto Sans CJK SC"/>
          <w:b/>
          <w:color w:val="5B6573"/>
          <w:sz w:val="32"/>
        </w:rPr>
        <w:t>Code Agent KVCache研究项目</w:t>
      </w:r>
    </w:p>
    <w:p>
      <w:pPr>
        <w:keepNext/>
        <w:spacing w:after="120"/>
      </w:pPr>
      <w:r>
        <w:rPr>
          <w:rFonts w:ascii="Calibri" w:hAnsi="Calibri" w:eastAsia="Noto Sans CJK SC"/>
          <w:b/>
          <w:color w:val="1F2937"/>
          <w:sz w:val="52"/>
        </w:rPr>
        <w:t>调研结论评审与研究问题收敛</w:t>
      </w:r>
    </w:p>
    <w:p>
      <w:pPr>
        <w:spacing w:after="360"/>
      </w:pPr>
      <w:r>
        <w:rPr>
          <w:rFonts w:ascii="Calibri" w:hAnsi="Calibri" w:eastAsia="Noto Sans CJK SC"/>
          <w:b/>
          <w:color w:val="1F4D78"/>
          <w:sz w:val="26"/>
        </w:rPr>
        <w:t>从“广义前缀缓存＋通用分层存储”收敛到可验证的单机研究主线</w:t>
      </w:r>
    </w:p>
    <w:p>
      <w:pPr>
        <w:keepNext w:val="0"/>
        <w:spacing w:before="0" w:after="280" w:line="283" w:lineRule="auto"/>
        <w:jc w:val="left"/>
      </w:pPr>
      <w:r>
        <w:rPr>
          <w:rFonts w:ascii="Calibri" w:hAnsi="Calibri" w:eastAsia="Noto Sans CJK SC"/>
          <w:b w:val="0"/>
          <w:i w:val="0"/>
          <w:color w:val="1F2937"/>
          <w:sz w:val="22"/>
        </w:rPr>
        <w:t>本报告用于0-4阶段评审：复核既有76篇资料，补入15项2025–2026年直接相关工作，识别已拥挤方向，形成研究空白、候选路线评分、核心研究问题、可证伪假设和下一阶段门控。报告不是系统实现说明，也不代表0-4已经自动通过。</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800"/>
        <w:gridCol w:w="7560"/>
      </w:tblGrid>
      <w:tr>
        <w:trPr>
          <w:tblHeader w:val="true"/>
          <w:cantSplit/>
        </w:trPr>
        <w:tc>
          <w:tcPr>
            <w:tcW w:type="dxa" w:w="18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9"/>
              </w:rPr>
              <w:t>字段</w:t>
            </w:r>
          </w:p>
        </w:tc>
        <w:tc>
          <w:tcPr>
            <w:tcW w:type="dxa" w:w="75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9"/>
              </w:rPr>
              <w:t>内容</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项目阶段</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0-4｜调研结论评审与研究问题收敛</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当前状态</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候选完成，待用户评审</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资料截止</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2026-08-31</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证据规模</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91项：既有76项＋补充15项；高相关36项</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实验环境假设</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Ubuntu；NVIDIA GeForce RTX 5090 32GB GDDR7；系统内存64GB；NVMe规格待确认</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项目状态</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立项/申请状态暂定，待项目方确认</w:t>
            </w:r>
          </w:p>
        </w:tc>
      </w:tr>
    </w:tbl>
    <w:p>
      <w:pPr>
        <w:spacing w:before="0" w:after="40" w:line="240" w:lineRule="auto"/>
      </w:pPr>
      <w:r>
        <w:rPr>
          <w:rFonts w:ascii="Calibri" w:hAnsi="Calibri" w:eastAsia="Noto Sans CJK SC"/>
          <w:sz w:val="2"/>
        </w:rPr>
      </w:r>
    </w:p>
    <w:p>
      <w:pPr>
        <w:spacing w:before="120" w:after="160" w:line="264" w:lineRule="auto"/>
        <w:ind w:left="115" w:right="58"/>
        <w:shd w:fill="FFF4CE" w:val="clear"/>
        <w:pBdr>
          <w:left w:val="single" w:sz="18" w:space="8" w:color="9C6500"/>
        </w:pBdr>
      </w:pPr>
      <w:r>
        <w:rPr>
          <w:rFonts w:ascii="Calibri" w:hAnsi="Calibri" w:eastAsia="Noto Sans CJK SC"/>
          <w:b/>
          <w:color w:val="1F4D78"/>
          <w:sz w:val="20"/>
        </w:rPr>
        <w:t xml:space="preserve">待评审结论  </w:t>
      </w:r>
      <w:r>
        <w:rPr>
          <w:rFonts w:ascii="Calibri" w:hAnsi="Calibri" w:eastAsia="Noto Sans CJK SC"/>
          <w:color w:val="1F2937"/>
          <w:sz w:val="20"/>
        </w:rPr>
        <w:t>将宽泛的“Code Agent前缀缓存＋通用分层存储”收窄；精确前缀为首期正确性边界，非前缀复用仅作高风险拓展。</w:t>
      </w:r>
    </w:p>
    <w:p>
      <w:pPr>
        <w:keepNext w:val="0"/>
        <w:spacing w:before="0" w:after="0" w:line="264" w:lineRule="auto"/>
        <w:jc w:val="left"/>
      </w:pPr>
      <w:r>
        <w:rPr>
          <w:rFonts w:ascii="Calibri" w:hAnsi="Calibri" w:eastAsia="Noto Sans CJK SC"/>
          <w:b w:val="0"/>
          <w:i w:val="0"/>
          <w:color w:val="5B6573"/>
          <w:sz w:val="20"/>
        </w:rPr>
        <w:t>评审状态： [ ] 认可  [ ] 条件认可  [ ] 要求重构</w:t>
      </w:r>
    </w:p>
    <w:p>
      <w:r>
        <w:br w:type="page"/>
      </w:r>
    </w:p>
    <w:p>
      <w:pPr>
        <w:pStyle w:val="Heading1"/>
        <w:keepNext/>
        <w:keepLines/>
      </w:pPr>
      <w:r>
        <w:rPr>
          <w:rFonts w:ascii="Calibri" w:hAnsi="Calibri" w:eastAsia="Noto Sans CJK SC"/>
          <w:b/>
          <w:color w:val="2E74B5"/>
          <w:sz w:val="32"/>
        </w:rPr>
        <w:t>执行结论</w:t>
      </w:r>
    </w:p>
    <w:p>
      <w:pPr>
        <w:spacing w:before="120" w:after="160" w:line="264" w:lineRule="auto"/>
        <w:ind w:left="115" w:right="58"/>
        <w:shd w:fill="FDECEC" w:val="clear"/>
        <w:pBdr>
          <w:left w:val="single" w:sz="18" w:space="8" w:color="9B1C1C"/>
        </w:pBdr>
      </w:pPr>
      <w:r>
        <w:rPr>
          <w:rFonts w:ascii="Calibri" w:hAnsi="Calibri" w:eastAsia="Noto Sans CJK SC"/>
          <w:b/>
          <w:color w:val="1F4D78"/>
          <w:sz w:val="20"/>
        </w:rPr>
        <w:t xml:space="preserve">核心判断  </w:t>
      </w:r>
      <w:r>
        <w:rPr>
          <w:rFonts w:ascii="Calibri" w:hAnsi="Calibri" w:eastAsia="Noto Sans CJK SC"/>
          <w:color w:val="1F2937"/>
          <w:sz w:val="20"/>
        </w:rPr>
        <w:t>项目确实需要收回调研主线。最新证据表明，单纯追求更高前缀命中率、通用多层KV缓存、固定TTL、宽泛Agent感知调度或语义淘汰，都已存在直接相邻工作。继续沿原表述推进，会在论文新颖性和项目验收解释上同时遇到风险。</w:t>
      </w:r>
    </w:p>
    <w:p>
      <w:pPr>
        <w:spacing w:before="120" w:after="160" w:line="264" w:lineRule="auto"/>
        <w:ind w:left="115" w:right="58"/>
        <w:shd w:fill="EAF4EA" w:val="clear"/>
        <w:pBdr>
          <w:left w:val="single" w:sz="18" w:space="8" w:color="548235"/>
        </w:pBdr>
      </w:pPr>
      <w:r>
        <w:rPr>
          <w:rFonts w:ascii="Calibri" w:hAnsi="Calibri" w:eastAsia="Noto Sans CJK SC"/>
          <w:b/>
          <w:color w:val="1F4D78"/>
          <w:sz w:val="20"/>
        </w:rPr>
        <w:t xml:space="preserve">推荐主线  </w:t>
      </w:r>
      <w:r>
        <w:rPr>
          <w:rFonts w:ascii="Calibri" w:hAnsi="Calibri" w:eastAsia="Noto Sans CJK SC"/>
          <w:color w:val="1F2937"/>
          <w:sz w:val="20"/>
        </w:rPr>
        <w:t>受限单机环境下、面向Code Agent暂停/恢复轨迹的有效复用边界与价值密度驱动的分层KV保留策略。首期只研究精确Token前缀，在GPU、DRAM、NVMe和重算之间做收益决策；非前缀复用保留为高风险拓展。</w:t>
      </w:r>
    </w:p>
    <w:p>
      <w:pPr>
        <w:keepNext w:val="0"/>
        <w:spacing w:before="0" w:after="200" w:line="264" w:lineRule="auto"/>
        <w:jc w:val="left"/>
      </w:pPr>
      <w:r>
        <w:rPr>
          <w:rFonts w:ascii="Calibri" w:hAnsi="Calibri" w:eastAsia="Noto Sans CJK SC"/>
          <w:b w:val="0"/>
          <w:i/>
          <w:color w:val="1F4D78"/>
          <w:sz w:val="21"/>
        </w:rPr>
        <w:t>Effective-reuse frontier and value-density-driven tiered KV retention for paused/resumed coding-agent sessions on memory-constrained single-node systems</w:t>
      </w:r>
    </w:p>
    <w:p>
      <w:pPr>
        <w:keepLines/>
        <w:spacing w:before="0" w:after="160" w:line="280" w:lineRule="auto"/>
        <w:numPr>
          <w:ilvl w:val="0"/>
          <w:numId w:val="10"/>
        </w:numPr>
      </w:pPr>
      <w:r>
        <w:rPr>
          <w:rFonts w:ascii="Calibri" w:hAnsi="Calibri" w:eastAsia="Noto Sans CJK SC"/>
          <w:color w:val="1F2937"/>
          <w:sz w:val="21"/>
        </w:rPr>
        <w:t>95%原始Token命中率降为描述性目标。TraceLab等工作已经展示高理论复用；本项目要解释的是为何真实系统仍会失效、迁移或负收益。</w:t>
      </w:r>
    </w:p>
    <w:p>
      <w:pPr>
        <w:keepLines/>
        <w:spacing w:before="0" w:after="160" w:line="280" w:lineRule="auto"/>
        <w:numPr>
          <w:ilvl w:val="0"/>
          <w:numId w:val="10"/>
        </w:numPr>
      </w:pPr>
      <w:r>
        <w:rPr>
          <w:rFonts w:ascii="Calibri" w:hAnsi="Calibri" w:eastAsia="Noto Sans CJK SC"/>
          <w:color w:val="1F2937"/>
          <w:sz w:val="21"/>
        </w:rPr>
        <w:t>“命中”必须增加收益判定。查询、排队、传输与恢复不快于重算时，只能记为逻辑命中，不能记为有效命中。</w:t>
      </w:r>
    </w:p>
    <w:p>
      <w:pPr>
        <w:keepLines/>
        <w:spacing w:before="0" w:after="160" w:line="280" w:lineRule="auto"/>
        <w:numPr>
          <w:ilvl w:val="0"/>
          <w:numId w:val="10"/>
        </w:numPr>
      </w:pPr>
      <w:r>
        <w:rPr>
          <w:rFonts w:ascii="Calibri" w:hAnsi="Calibri" w:eastAsia="Noto Sans CJK SC"/>
          <w:color w:val="1F2937"/>
          <w:sz w:val="21"/>
        </w:rPr>
        <w:t>终局指标改为每个成功任务的端到端成本；同时保留P50/P95/P99 TTFT、会话完成时间、数据移动量和任务正确性。</w:t>
      </w:r>
    </w:p>
    <w:p>
      <w:pPr>
        <w:keepLines/>
        <w:spacing w:before="0" w:after="160" w:line="280" w:lineRule="auto"/>
        <w:numPr>
          <w:ilvl w:val="0"/>
          <w:numId w:val="10"/>
        </w:numPr>
      </w:pPr>
      <w:r>
        <w:rPr>
          <w:rFonts w:ascii="Calibri" w:hAnsi="Calibri" w:eastAsia="Noto Sans CJK SC"/>
          <w:color w:val="1F2937"/>
          <w:sz w:val="21"/>
        </w:rPr>
        <w:t>硬件边界固定为Ubuntu、RTX 5090 32GB GDDR7、64GB系统内存和本地NVMe；这不是限制，而是研究问题成立的条件。</w:t>
      </w:r>
    </w:p>
    <w:p>
      <w:pPr>
        <w:keepLines/>
        <w:spacing w:before="0" w:after="160" w:line="280" w:lineRule="auto"/>
        <w:numPr>
          <w:ilvl w:val="0"/>
          <w:numId w:val="10"/>
        </w:numPr>
      </w:pPr>
      <w:r>
        <w:rPr>
          <w:rFonts w:ascii="Calibri" w:hAnsi="Calibri" w:eastAsia="Noto Sans CJK SC"/>
          <w:color w:val="1F2937"/>
          <w:sz w:val="21"/>
        </w:rPr>
        <w:t>0-4仍处于候选完成状态。用户认可主线、RQ、强基线和指标后，才进入0-5 Trace与实验方案设计。</w:t>
      </w:r>
    </w:p>
    <w:p>
      <w:r>
        <w:br w:type="page"/>
      </w:r>
    </w:p>
    <w:p>
      <w:pPr>
        <w:pStyle w:val="Heading2"/>
        <w:keepNext/>
        <w:keepLines/>
      </w:pPr>
      <w:r>
        <w:rPr>
          <w:rFonts w:ascii="Calibri" w:hAnsi="Calibri" w:eastAsia="Noto Sans CJK SC"/>
          <w:b/>
          <w:color w:val="2E74B5"/>
          <w:sz w:val="26"/>
        </w:rPr>
        <w:t>一页式决策表</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2450"/>
        <w:gridCol w:w="4480"/>
        <w:gridCol w:w="2430"/>
      </w:tblGrid>
      <w:tr>
        <w:trPr>
          <w:tblHeader w:val="true"/>
          <w:cantSplit/>
        </w:trPr>
        <w:tc>
          <w:tcPr>
            <w:tcW w:type="dxa" w:w="24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原方向</w:t>
            </w:r>
          </w:p>
        </w:tc>
        <w:tc>
          <w:tcPr>
            <w:tcW w:type="dxa" w:w="44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证据后的判断</w:t>
            </w:r>
          </w:p>
        </w:tc>
        <w:tc>
          <w:tcPr>
            <w:tcW w:type="dxa" w:w="243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0-4处理</w:t>
            </w:r>
          </w:p>
        </w:tc>
      </w:tr>
      <w:tr>
        <w:trPr>
          <w:cantSplit/>
        </w:trPr>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Code Agent达到95%前缀命中</w:t>
            </w:r>
          </w:p>
        </w:tc>
        <w:tc>
          <w:tcPr>
            <w:tcW w:type="dxa" w:w="44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高理论命中已被真实轨迹观察；缺口在有效复用</w:t>
            </w:r>
          </w:p>
        </w:tc>
        <w:tc>
          <w:tcPr>
            <w:tcW w:type="dxa" w:w="24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降为上界/描述指标</w:t>
            </w:r>
          </w:p>
        </w:tc>
      </w:tr>
      <w:tr>
        <w:trPr>
          <w:cantSplit/>
        </w:trPr>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通用GPU/DRAM/NVMe分层</w:t>
            </w:r>
          </w:p>
        </w:tc>
        <w:tc>
          <w:tcPr>
            <w:tcW w:type="dxa" w:w="44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Strata、Tutti、KVDrive、HyMCache等已覆盖</w:t>
            </w:r>
          </w:p>
        </w:tc>
        <w:tc>
          <w:tcPr>
            <w:tcW w:type="dxa" w:w="24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不单独作为创新</w:t>
            </w:r>
          </w:p>
        </w:tc>
      </w:tr>
      <w:tr>
        <w:trPr>
          <w:cantSplit/>
        </w:trPr>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Agent感知调度与淘汰</w:t>
            </w:r>
          </w:p>
        </w:tc>
        <w:tc>
          <w:tcPr>
            <w:tcW w:type="dxa" w:w="44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CacheWise、Continuum、ThunderAgent、CONCUR、SAECache高度相邻</w:t>
            </w:r>
          </w:p>
        </w:tc>
        <w:tc>
          <w:tcPr>
            <w:tcW w:type="dxa" w:w="24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全部列为强基线</w:t>
            </w:r>
          </w:p>
        </w:tc>
      </w:tr>
      <w:tr>
        <w:trPr>
          <w:cantSplit/>
        </w:trPr>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Trace Replay</w:t>
            </w:r>
          </w:p>
        </w:tc>
        <w:tc>
          <w:tcPr>
            <w:tcW w:type="dxa" w:w="44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TraceLab和XPerf已有数据与重放框架</w:t>
            </w:r>
          </w:p>
        </w:tc>
        <w:tc>
          <w:tcPr>
            <w:tcW w:type="dxa" w:w="24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作为必要基础设施</w:t>
            </w:r>
          </w:p>
        </w:tc>
      </w:tr>
      <w:tr>
        <w:trPr>
          <w:cantSplit/>
        </w:trPr>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单机有效复用边界＋价值密度分层</w:t>
            </w:r>
          </w:p>
        </w:tc>
        <w:tc>
          <w:tcPr>
            <w:tcW w:type="dxa" w:w="44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现有证据未直接覆盖5090/64GB/NVMe四选一边界</w:t>
            </w:r>
          </w:p>
        </w:tc>
        <w:tc>
          <w:tcPr>
            <w:tcW w:type="dxa" w:w="24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推荐主线</w:t>
            </w:r>
          </w:p>
        </w:tc>
      </w:tr>
      <w:tr>
        <w:trPr>
          <w:cantSplit/>
        </w:trPr>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仓库来源/依赖感知非前缀复用</w:t>
            </w:r>
          </w:p>
        </w:tc>
        <w:tc>
          <w:tcPr>
            <w:tcW w:type="dxa" w:w="44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潜在新颖，但正确性与安全风险高</w:t>
            </w:r>
          </w:p>
        </w:tc>
        <w:tc>
          <w:tcPr>
            <w:tcW w:type="dxa" w:w="24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仅作拓展RQ5</w:t>
            </w:r>
          </w:p>
        </w:tc>
      </w:tr>
    </w:tbl>
    <w:p>
      <w:pPr>
        <w:spacing w:before="0" w:after="40" w:line="240" w:lineRule="auto"/>
      </w:pPr>
      <w:r>
        <w:rPr>
          <w:rFonts w:ascii="Calibri" w:hAnsi="Calibri" w:eastAsia="Noto Sans CJK SC"/>
          <w:sz w:val="2"/>
        </w:rPr>
      </w:r>
    </w:p>
    <w:p>
      <w:r>
        <w:br w:type="page"/>
      </w:r>
    </w:p>
    <w:p>
      <w:pPr>
        <w:pStyle w:val="Heading1"/>
        <w:keepNext/>
        <w:keepLines/>
      </w:pPr>
      <w:r>
        <w:rPr>
          <w:rFonts w:ascii="Calibri" w:hAnsi="Calibri" w:eastAsia="Noto Sans CJK SC"/>
          <w:b/>
          <w:color w:val="2E74B5"/>
          <w:sz w:val="32"/>
        </w:rPr>
        <w:t>1. 阶段定位与评审目标</w:t>
      </w:r>
    </w:p>
    <w:p>
      <w:pPr>
        <w:pStyle w:val="Heading2"/>
        <w:keepNext/>
        <w:keepLines/>
      </w:pPr>
      <w:r>
        <w:rPr>
          <w:rFonts w:ascii="Calibri" w:hAnsi="Calibri" w:eastAsia="Noto Sans CJK SC"/>
          <w:b/>
          <w:color w:val="2E74B5"/>
          <w:sz w:val="26"/>
        </w:rPr>
        <w:t>1.1 当前位于项目0-4阶段</w:t>
      </w:r>
    </w:p>
    <w:p>
      <w:pPr>
        <w:keepNext w:val="0"/>
        <w:spacing w:before="0" w:after="120" w:line="264" w:lineRule="auto"/>
        <w:jc w:val="left"/>
      </w:pPr>
      <w:r>
        <w:rPr>
          <w:rFonts w:ascii="Calibri" w:hAnsi="Calibri" w:eastAsia="Noto Sans CJK SC"/>
          <w:b w:val="0"/>
          <w:i w:val="0"/>
          <w:color w:val="1F2937"/>
          <w:sz w:val="22"/>
        </w:rPr>
        <w:t>0-4的任务不是选一个框架开始编码，而是把调研结果变成能够指导后续实验的研究决策。上一阶段解决“有哪些资料”；本阶段解决“已有工作做到哪里、项目还能研究什么、什么证据会推翻我们的判断”。</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2340"/>
        <w:gridCol w:w="2340"/>
        <w:gridCol w:w="2340"/>
        <w:gridCol w:w="2340"/>
      </w:tblGrid>
      <w:tr>
        <w:trPr>
          <w:tblHeader w:val="true"/>
          <w:cantSplit/>
        </w:trPr>
        <w:tc>
          <w:tcPr>
            <w:tcW w:type="dxa" w:w="23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阶段输入</w:t>
            </w:r>
          </w:p>
        </w:tc>
        <w:tc>
          <w:tcPr>
            <w:tcW w:type="dxa" w:w="23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0-4处理</w:t>
            </w:r>
          </w:p>
        </w:tc>
        <w:tc>
          <w:tcPr>
            <w:tcW w:type="dxa" w:w="23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阶段输出</w:t>
            </w:r>
          </w:p>
        </w:tc>
        <w:tc>
          <w:tcPr>
            <w:tcW w:type="dxa" w:w="23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通过条件</w:t>
            </w:r>
          </w:p>
        </w:tc>
      </w:tr>
      <w:tr>
        <w:trPr>
          <w:cantSplit/>
        </w:trPr>
        <w:tc>
          <w:tcPr>
            <w:tcW w:type="dxa" w:w="23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76篇主题资料、IEEE英文调研报告、项目定义与硬件约束</w:t>
            </w:r>
          </w:p>
        </w:tc>
        <w:tc>
          <w:tcPr>
            <w:tcW w:type="dxa" w:w="23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补检近期直接竞争工作；证据矩阵；空白与路线评分；形成RQ/H</w:t>
            </w:r>
          </w:p>
        </w:tc>
        <w:tc>
          <w:tcPr>
            <w:tcW w:type="dxa" w:w="23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Excel证据矩阵；本评审报告；待确认的研究边界</w:t>
            </w:r>
          </w:p>
        </w:tc>
        <w:tc>
          <w:tcPr>
            <w:tcW w:type="dxa" w:w="23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用户确认推荐主线、RQ1–RQ4、强基线、终局指标和首期范围</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1.2 评审问题</w:t>
      </w:r>
    </w:p>
    <w:p>
      <w:pPr>
        <w:keepLines/>
        <w:spacing w:before="0" w:after="160" w:line="280" w:lineRule="auto"/>
        <w:numPr>
          <w:ilvl w:val="0"/>
          <w:numId w:val="10"/>
        </w:numPr>
      </w:pPr>
      <w:r>
        <w:rPr>
          <w:rFonts w:ascii="Calibri" w:hAnsi="Calibri" w:eastAsia="Noto Sans CJK SC"/>
          <w:color w:val="1F2937"/>
          <w:sz w:val="21"/>
        </w:rPr>
        <w:t>广义“Code Agent KVCache系统”是否仍有足够的新颖性？</w:t>
      </w:r>
    </w:p>
    <w:p>
      <w:pPr>
        <w:keepLines/>
        <w:spacing w:before="0" w:after="160" w:line="280" w:lineRule="auto"/>
        <w:numPr>
          <w:ilvl w:val="0"/>
          <w:numId w:val="10"/>
        </w:numPr>
      </w:pPr>
      <w:r>
        <w:rPr>
          <w:rFonts w:ascii="Calibri" w:hAnsi="Calibri" w:eastAsia="Noto Sans CJK SC"/>
          <w:color w:val="1F2937"/>
          <w:sz w:val="21"/>
        </w:rPr>
        <w:t>哪些方向只能做基线，哪些方向可成为工程贡献或论文贡献？</w:t>
      </w:r>
    </w:p>
    <w:p>
      <w:pPr>
        <w:keepLines/>
        <w:spacing w:before="0" w:after="160" w:line="280" w:lineRule="auto"/>
        <w:numPr>
          <w:ilvl w:val="0"/>
          <w:numId w:val="10"/>
        </w:numPr>
      </w:pPr>
      <w:r>
        <w:rPr>
          <w:rFonts w:ascii="Calibri" w:hAnsi="Calibri" w:eastAsia="Noto Sans CJK SC"/>
          <w:color w:val="1F2937"/>
          <w:sz w:val="21"/>
        </w:rPr>
        <w:t>当前RTX 5090＋64GB主机能否支撑一个完整、可复现、可证伪的研究闭环？</w:t>
      </w:r>
    </w:p>
    <w:p>
      <w:pPr>
        <w:keepLines/>
        <w:spacing w:before="0" w:after="160" w:line="280" w:lineRule="auto"/>
        <w:numPr>
          <w:ilvl w:val="0"/>
          <w:numId w:val="10"/>
        </w:numPr>
      </w:pPr>
      <w:r>
        <w:rPr>
          <w:rFonts w:ascii="Calibri" w:hAnsi="Calibri" w:eastAsia="Noto Sans CJK SC"/>
          <w:color w:val="1F2937"/>
          <w:sz w:val="21"/>
        </w:rPr>
        <w:t>原70%/95%/90%/10%目标应如何改写，才不会把逻辑命中当成系统收益？</w:t>
      </w:r>
    </w:p>
    <w:p>
      <w:pPr>
        <w:keepLines/>
        <w:spacing w:before="0" w:after="160" w:line="280" w:lineRule="auto"/>
        <w:numPr>
          <w:ilvl w:val="0"/>
          <w:numId w:val="10"/>
        </w:numPr>
      </w:pPr>
      <w:r>
        <w:rPr>
          <w:rFonts w:ascii="Calibri" w:hAnsi="Calibri" w:eastAsia="Noto Sans CJK SC"/>
          <w:color w:val="1F2937"/>
          <w:sz w:val="21"/>
        </w:rPr>
        <w:t>什么条件下项目应该停止、调整或降级，而不是继续堆叠功能？</w:t>
      </w:r>
    </w:p>
    <w:p>
      <w:pPr>
        <w:pStyle w:val="Heading1"/>
        <w:keepNext/>
        <w:keepLines/>
      </w:pPr>
      <w:r>
        <w:rPr>
          <w:rFonts w:ascii="Calibri" w:hAnsi="Calibri" w:eastAsia="Noto Sans CJK SC"/>
          <w:b/>
          <w:color w:val="2E74B5"/>
          <w:sz w:val="32"/>
        </w:rPr>
        <w:t>2. 证据范围与方法</w:t>
      </w:r>
    </w:p>
    <w:p>
      <w:pPr>
        <w:pStyle w:val="Heading2"/>
        <w:keepNext/>
        <w:keepLines/>
      </w:pPr>
      <w:r>
        <w:rPr>
          <w:rFonts w:ascii="Calibri" w:hAnsi="Calibri" w:eastAsia="Noto Sans CJK SC"/>
          <w:b/>
          <w:color w:val="2E74B5"/>
          <w:sz w:val="26"/>
        </w:rPr>
        <w:t>2.1 证据规模</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3300"/>
        <w:gridCol w:w="900"/>
        <w:gridCol w:w="5160"/>
      </w:tblGrid>
      <w:tr>
        <w:trPr>
          <w:tblHeader w:val="true"/>
          <w:cantSplit/>
        </w:trPr>
        <w:tc>
          <w:tcPr>
            <w:tcW w:type="dxa" w:w="33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证据类别</w:t>
            </w:r>
          </w:p>
        </w:tc>
        <w:tc>
          <w:tcPr>
            <w:tcW w:type="dxa" w:w="9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数量</w:t>
            </w:r>
          </w:p>
        </w:tc>
        <w:tc>
          <w:tcPr>
            <w:tcW w:type="dxa" w:w="51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对0-4的作用</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Code Agent工作负载与基准</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20</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定义任务、轨迹和上下文增长</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前缀缓存与上下文复用</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14</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确定精确/非前缀复用的技术边界</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分层存储与解耦推理</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12</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识别通用分层方向的拥挤程度</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压缩淘汰与注意力架构</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21</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区分容量优化、结构兼容与跨请求复用</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评测方法与安全隔离</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10</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建立正确性、隐私和侧信道边界</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近期Agent推理与缓存研究</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10</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核验直接竞争与最新系统主线</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成本指标与缓存经济性</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3</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修正项目终局成本口径</w:t>
            </w:r>
          </w:p>
        </w:tc>
      </w:tr>
      <w:tr>
        <w:trPr>
          <w:cantSplit/>
        </w:trPr>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Agent推理评测与重放</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1</w:t>
            </w:r>
          </w:p>
        </w:tc>
        <w:tc>
          <w:tcPr>
            <w:tcW w:type="dxa" w:w="5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判断Trace Replay的贡献边界</w:t>
            </w:r>
          </w:p>
        </w:tc>
      </w:tr>
    </w:tbl>
    <w:p>
      <w:pPr>
        <w:spacing w:before="0" w:after="40" w:line="240" w:lineRule="auto"/>
      </w:pPr>
      <w:r>
        <w:rPr>
          <w:rFonts w:ascii="Calibri" w:hAnsi="Calibri" w:eastAsia="Noto Sans CJK SC"/>
          <w:sz w:val="2"/>
        </w:rPr>
      </w:r>
    </w:p>
    <w:p>
      <w:pPr>
        <w:keepNext w:val="0"/>
        <w:spacing w:before="0" w:after="120" w:line="264" w:lineRule="auto"/>
        <w:jc w:val="left"/>
      </w:pPr>
      <w:r>
        <w:rPr>
          <w:rFonts w:ascii="Calibri" w:hAnsi="Calibri" w:eastAsia="Noto Sans CJK SC"/>
          <w:b w:val="0"/>
          <w:i w:val="0"/>
          <w:color w:val="1F2937"/>
          <w:sz w:val="20"/>
        </w:rPr>
        <w:t>证据矩阵保留每项工作的资料来源、方法族、工作负载、复用范围、存储层级、评价证据、项目局限、研究空白标签、相关度和置信度。Excel是可筛选的主证据表，本报告只呈现收敛结论。</w:t>
      </w:r>
    </w:p>
    <w:p>
      <w:pPr>
        <w:pStyle w:val="Heading2"/>
        <w:keepNext/>
        <w:keepLines/>
      </w:pPr>
      <w:r>
        <w:rPr>
          <w:rFonts w:ascii="Calibri" w:hAnsi="Calibri" w:eastAsia="Noto Sans CJK SC"/>
          <w:b/>
          <w:color w:val="2E74B5"/>
          <w:sz w:val="26"/>
        </w:rPr>
        <w:t>2.2 判断规则</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2200"/>
        <w:gridCol w:w="7160"/>
      </w:tblGrid>
      <w:tr>
        <w:trPr>
          <w:tblHeader w:val="true"/>
          <w:cantSplit/>
        </w:trPr>
        <w:tc>
          <w:tcPr>
            <w:tcW w:type="dxa" w:w="2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规则</w:t>
            </w:r>
          </w:p>
        </w:tc>
        <w:tc>
          <w:tcPr>
            <w:tcW w:type="dxa" w:w="71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说明</w:t>
            </w:r>
          </w:p>
        </w:tc>
      </w:tr>
      <w:tr>
        <w:trPr>
          <w:cantSplit/>
        </w:trPr>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主来源优先</w:t>
            </w:r>
          </w:p>
        </w:tc>
        <w:tc>
          <w:tcPr>
            <w:tcW w:type="dxa" w:w="7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论文官方页面、作者项目仓库和厂商官方规格优先；二手材料不承担关键结论。</w:t>
            </w:r>
          </w:p>
        </w:tc>
      </w:tr>
      <w:tr>
        <w:trPr>
          <w:cantSplit/>
        </w:trPr>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对象区分</w:t>
            </w:r>
          </w:p>
        </w:tc>
        <w:tc>
          <w:tcPr>
            <w:tcW w:type="dxa" w:w="7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KV张量缓存、Provider Prompt Cache、中间结果缓存和Trace工具不混为同一类贡献。</w:t>
            </w:r>
          </w:p>
        </w:tc>
      </w:tr>
      <w:tr>
        <w:trPr>
          <w:cantSplit/>
        </w:trPr>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理论与有效分开</w:t>
            </w:r>
          </w:p>
        </w:tc>
        <w:tc>
          <w:tcPr>
            <w:tcW w:type="dxa" w:w="7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理论可复用前缀不等于实际驻留，也不等于恢复后端到端获益。</w:t>
            </w:r>
          </w:p>
        </w:tc>
      </w:tr>
      <w:tr>
        <w:trPr>
          <w:cantSplit/>
        </w:trPr>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高命中不自动等于新颖</w:t>
            </w:r>
          </w:p>
        </w:tc>
        <w:tc>
          <w:tcPr>
            <w:tcW w:type="dxa" w:w="7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若已有工作达到相近命中，项目必须提出新的系统边界、决策问题或评价闭环。</w:t>
            </w:r>
          </w:p>
        </w:tc>
      </w:tr>
      <w:tr>
        <w:trPr>
          <w:cantSplit/>
        </w:trPr>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安全和正确性前置</w:t>
            </w:r>
          </w:p>
        </w:tc>
        <w:tc>
          <w:tcPr>
            <w:tcW w:type="dxa" w:w="71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跨租户、非前缀与低精度复用必须先证明兼容性和输出质量。</w:t>
            </w:r>
          </w:p>
        </w:tc>
      </w:tr>
    </w:tbl>
    <w:p>
      <w:pPr>
        <w:spacing w:before="0" w:after="40" w:line="240" w:lineRule="auto"/>
      </w:pPr>
      <w:r>
        <w:rPr>
          <w:rFonts w:ascii="Calibri" w:hAnsi="Calibri" w:eastAsia="Noto Sans CJK SC"/>
          <w:sz w:val="2"/>
        </w:rPr>
      </w:r>
    </w:p>
    <w:p>
      <w:pPr>
        <w:pStyle w:val="Heading1"/>
        <w:keepNext/>
        <w:keepLines/>
      </w:pPr>
      <w:r>
        <w:rPr>
          <w:rFonts w:ascii="Calibri" w:hAnsi="Calibri" w:eastAsia="Noto Sans CJK SC"/>
          <w:b/>
          <w:color w:val="2E74B5"/>
          <w:sz w:val="32"/>
        </w:rPr>
        <w:t>3. 新增关键证据改变了什么</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900"/>
        <w:gridCol w:w="4080"/>
        <w:gridCol w:w="3380"/>
      </w:tblGrid>
      <w:tr>
        <w:trPr>
          <w:tblHeader w:val="true"/>
          <w:cantSplit/>
        </w:trPr>
        <w:tc>
          <w:tcPr>
            <w:tcW w:type="dxa" w:w="19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证据</w:t>
            </w:r>
          </w:p>
        </w:tc>
        <w:tc>
          <w:tcPr>
            <w:tcW w:type="dxa" w:w="40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公开结论</w:t>
            </w:r>
          </w:p>
        </w:tc>
        <w:tc>
          <w:tcPr>
            <w:tcW w:type="dxa" w:w="33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对本项目的影响</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TraceLab [1]</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真实Claude Code/Codex轨迹显示长循环、长上下文和高但不完美的前缀命中</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原95%目标不再足够；转向暂停后的有效复用</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CacheWise [2]</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已实现前缀感知调度和工具元数据驱动淘汰</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宽泛Agent感知淘汰不能再作为主创新</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Continuum [3]</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以TTL保留工具停顿中的KV，并联合重载、重算和排队成本</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固定/预测TTL进入强基线</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ThunderAgent [4]</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程序感知地统一KV与工具资源调度</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程序级调度主线已被覆盖</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Pythia [5]</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多Agent专用Prompt与工作流可出现低命中和资源争用</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首期明确限定单Agent/独立会话</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CONCUR [7]</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容量未完全耗尽前也会发生中阶段缓存抖动</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并发和排队必须进入有效命中条件</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SAECache [13]</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不同Token类型复用价值差异巨大，语义淘汰已有自适应方案</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语义信号仅作基线/消融</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XPerf [12]</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提供Agent Trace采集、合成与细粒度重放</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Replay是支撑贡献，不是论文主线</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成本研究 [9][10]</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Token减少、缓存计数、账单成本和成功率可能背离</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终局指标改为每成功任务成本</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HyMCache [15]</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CXL混合内存与SSD已覆盖TB级多轮KV复用</w:t>
            </w:r>
          </w:p>
        </w:tc>
        <w:tc>
          <w:tcPr>
            <w:tcW w:type="dxa" w:w="33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本项目必须突出消费级单机而非泛化分层</w:t>
            </w:r>
          </w:p>
        </w:tc>
      </w:tr>
    </w:tbl>
    <w:p>
      <w:pPr>
        <w:spacing w:before="0" w:after="40" w:line="240" w:lineRule="auto"/>
      </w:pPr>
      <w:r>
        <w:rPr>
          <w:rFonts w:ascii="Calibri" w:hAnsi="Calibri" w:eastAsia="Noto Sans CJK SC"/>
          <w:sz w:val="2"/>
        </w:rPr>
      </w:r>
    </w:p>
    <w:p>
      <w:pPr>
        <w:spacing w:before="120" w:after="160" w:line="264" w:lineRule="auto"/>
        <w:ind w:left="115" w:right="58"/>
        <w:shd w:fill="E8EEF5" w:val="clear"/>
        <w:pBdr>
          <w:left w:val="single" w:sz="18" w:space="8" w:color="2E74B5"/>
        </w:pBdr>
      </w:pPr>
      <w:r>
        <w:rPr>
          <w:rFonts w:ascii="Calibri" w:hAnsi="Calibri" w:eastAsia="Noto Sans CJK SC"/>
          <w:b/>
          <w:color w:val="1F4D78"/>
          <w:sz w:val="20"/>
        </w:rPr>
        <w:t xml:space="preserve">最重要的差别  </w:t>
      </w:r>
      <w:r>
        <w:rPr>
          <w:rFonts w:ascii="Calibri" w:hAnsi="Calibri" w:eastAsia="Noto Sans CJK SC"/>
          <w:color w:val="1F2937"/>
          <w:sz w:val="20"/>
        </w:rPr>
        <w:t>我们不再把“有没有相同前缀”当作最终问题，而是研究同一前缀在32GB显存压力、停顿、并发和跨层迁移下是否仍值得保留，以及应该保留在哪一层。</w:t>
      </w:r>
    </w:p>
    <w:p>
      <w:r>
        <w:br w:type="page"/>
      </w:r>
    </w:p>
    <w:p>
      <w:pPr>
        <w:pStyle w:val="Heading1"/>
        <w:keepNext/>
        <w:keepLines/>
      </w:pPr>
      <w:r>
        <w:rPr>
          <w:rFonts w:ascii="Calibri" w:hAnsi="Calibri" w:eastAsia="Noto Sans CJK SC"/>
          <w:b/>
          <w:color w:val="2E74B5"/>
          <w:sz w:val="32"/>
        </w:rPr>
        <w:t>4. 研究空白评审</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620"/>
        <w:gridCol w:w="2600"/>
        <w:gridCol w:w="800"/>
        <w:gridCol w:w="800"/>
        <w:gridCol w:w="800"/>
        <w:gridCol w:w="760"/>
        <w:gridCol w:w="2980"/>
      </w:tblGrid>
      <w:tr>
        <w:trPr>
          <w:tblHeader w:val="true"/>
          <w:cantSplit/>
        </w:trPr>
        <w:tc>
          <w:tcPr>
            <w:tcW w:type="dxa" w:w="62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ID</w:t>
            </w:r>
          </w:p>
        </w:tc>
        <w:tc>
          <w:tcPr>
            <w:tcW w:type="dxa" w:w="26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研究空白</w:t>
            </w:r>
          </w:p>
        </w:tc>
        <w:tc>
          <w:tcPr>
            <w:tcW w:type="dxa" w:w="8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新颖</w:t>
            </w:r>
          </w:p>
        </w:tc>
        <w:tc>
          <w:tcPr>
            <w:tcW w:type="dxa" w:w="8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必要</w:t>
            </w:r>
          </w:p>
        </w:tc>
        <w:tc>
          <w:tcPr>
            <w:tcW w:type="dxa" w:w="8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可行</w:t>
            </w:r>
          </w:p>
        </w:tc>
        <w:tc>
          <w:tcPr>
            <w:tcW w:type="dxa" w:w="76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风险</w:t>
            </w:r>
          </w:p>
        </w:tc>
        <w:tc>
          <w:tcPr>
            <w:tcW w:type="dxa" w:w="29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0-4决策</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G1</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原始Token命中率不再足以构成主要贡献</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1/5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低</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降为描述性指标；不能作为论文主张</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G2</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理想命中与真实有效复用之间的鸿沟</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中</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纳入核心研究问题RQ1/RQ2</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G3</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受限单机上GPU/DRAM/NVMe/重算的联合决策</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中</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推荐主线；以价值密度和交叉成本为核心</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G4</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从缓存指标到每个成功任务成本的端到端闭环</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中</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作为评价贡献和终局验收指标</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G5</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Prompt规范化、布局与Token语义价值</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2/5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3/5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低</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仅作为辅助策略和消融，不作主创新</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G6</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代码局部变化后的仓库来源/依赖感知非前缀安全复用</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2/5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高</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高风险拓展项；不进入首期核心承诺</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G7</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多租户隔离、模型版本与缓存键安全边界</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2/5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高</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作为强制边界与负面测试，不作为主要性能创新</w:t>
            </w:r>
          </w:p>
        </w:tc>
      </w:tr>
      <w:tr>
        <w:trPr>
          <w:cantSplit/>
        </w:trPr>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G8</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单Agent与多Agent、GQA与MLA等适用范围差异</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2/5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5/5</w:t>
            </w:r>
          </w:p>
        </w:tc>
        <w:tc>
          <w:tcPr>
            <w:tcW w:type="dxa" w:w="8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4/5</w:t>
            </w:r>
          </w:p>
        </w:tc>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中</w:t>
            </w:r>
          </w:p>
        </w:tc>
        <w:tc>
          <w:tcPr>
            <w:tcW w:type="dxa" w:w="29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第一阶段限定单Agent、GQA、精确前缀；其余延后</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4.1 推荐空白：理想到有效复用的鸿沟</w:t>
      </w:r>
    </w:p>
    <w:p>
      <w:pPr>
        <w:keepNext w:val="0"/>
        <w:spacing w:before="0" w:after="120" w:line="264" w:lineRule="auto"/>
        <w:jc w:val="left"/>
      </w:pPr>
      <w:r>
        <w:rPr>
          <w:rFonts w:ascii="Calibri" w:hAnsi="Calibri" w:eastAsia="Noto Sans CJK SC"/>
          <w:b w:val="0"/>
          <w:i w:val="0"/>
          <w:color w:val="1F2937"/>
          <w:sz w:val="22"/>
        </w:rPr>
        <w:t>理论Token命中只要求当前Token前缀在历史中存在；有效复用还要求缓存仍驻留、兼容域一致、查询和恢复成功，并且完整恢复路径快于重算。Code Agent的工具等待、人类确认、长尾命令和多会话竞争使这两者产生结构性差距。</w:t>
      </w:r>
    </w:p>
    <w:p>
      <w:pPr>
        <w:keepLines/>
        <w:spacing w:before="100" w:after="160"/>
        <w:jc w:val="center"/>
      </w:pPr>
      <w:r>
        <w:rPr>
          <w:rFonts w:ascii="Calibri" w:hAnsi="Calibri" w:eastAsia="Noto Sans CJK SC"/>
          <w:i/>
          <w:color w:val="1F2937"/>
          <w:sz w:val="22"/>
        </w:rPr>
        <w:t>T</w:t>
      </w:r>
      <w:r>
        <w:rPr>
          <w:rFonts w:ascii="Calibri" w:hAnsi="Calibri" w:eastAsia="Noto Sans CJK SC"/>
          <w:i w:val="0"/>
          <w:color w:val="1F2937"/>
          <w:sz w:val="22"/>
          <w:vertAlign w:val="subscript"/>
        </w:rPr>
        <w:t>lookup</w:t>
      </w:r>
      <w:r>
        <w:rPr>
          <w:rFonts w:ascii="Calibri" w:hAnsi="Calibri" w:eastAsia="Noto Sans CJK SC"/>
          <w:i/>
          <w:color w:val="1F2937"/>
          <w:sz w:val="22"/>
        </w:rPr>
        <w:t xml:space="preserve"> + T</w:t>
      </w:r>
      <w:r>
        <w:rPr>
          <w:rFonts w:ascii="Calibri" w:hAnsi="Calibri" w:eastAsia="Noto Sans CJK SC"/>
          <w:i w:val="0"/>
          <w:color w:val="1F2937"/>
          <w:sz w:val="22"/>
          <w:vertAlign w:val="subscript"/>
        </w:rPr>
        <w:t>queue</w:t>
      </w:r>
      <w:r>
        <w:rPr>
          <w:rFonts w:ascii="Calibri" w:hAnsi="Calibri" w:eastAsia="Noto Sans CJK SC"/>
          <w:i/>
          <w:color w:val="1F2937"/>
          <w:sz w:val="22"/>
        </w:rPr>
        <w:t xml:space="preserve"> + T</w:t>
      </w:r>
      <w:r>
        <w:rPr>
          <w:rFonts w:ascii="Calibri" w:hAnsi="Calibri" w:eastAsia="Noto Sans CJK SC"/>
          <w:i w:val="0"/>
          <w:color w:val="1F2937"/>
          <w:sz w:val="22"/>
          <w:vertAlign w:val="subscript"/>
        </w:rPr>
        <w:t>transfer</w:t>
      </w:r>
      <w:r>
        <w:rPr>
          <w:rFonts w:ascii="Calibri" w:hAnsi="Calibri" w:eastAsia="Noto Sans CJK SC"/>
          <w:i/>
          <w:color w:val="1F2937"/>
          <w:sz w:val="22"/>
        </w:rPr>
        <w:t xml:space="preserve"> + T</w:t>
      </w:r>
      <w:r>
        <w:rPr>
          <w:rFonts w:ascii="Calibri" w:hAnsi="Calibri" w:eastAsia="Noto Sans CJK SC"/>
          <w:i w:val="0"/>
          <w:color w:val="1F2937"/>
          <w:sz w:val="22"/>
          <w:vertAlign w:val="subscript"/>
        </w:rPr>
        <w:t>restore</w:t>
      </w:r>
      <w:r>
        <w:rPr>
          <w:rFonts w:ascii="Calibri" w:hAnsi="Calibri" w:eastAsia="Noto Sans CJK SC"/>
          <w:i/>
          <w:color w:val="1F2937"/>
          <w:sz w:val="22"/>
        </w:rPr>
        <w:t xml:space="preserve"> &lt; T</w:t>
      </w:r>
      <w:r>
        <w:rPr>
          <w:rFonts w:ascii="Calibri" w:hAnsi="Calibri" w:eastAsia="Noto Sans CJK SC"/>
          <w:i w:val="0"/>
          <w:color w:val="1F2937"/>
          <w:sz w:val="22"/>
          <w:vertAlign w:val="subscript"/>
        </w:rPr>
        <w:t>recompute</w:t>
      </w:r>
    </w:p>
    <w:p>
      <w:pPr>
        <w:keepNext w:val="0"/>
        <w:spacing w:before="0" w:after="120" w:line="264" w:lineRule="auto"/>
        <w:jc w:val="left"/>
      </w:pPr>
      <w:r>
        <w:rPr>
          <w:rFonts w:ascii="Calibri" w:hAnsi="Calibri" w:eastAsia="Noto Sans CJK SC"/>
          <w:b w:val="0"/>
          <w:i w:val="0"/>
          <w:color w:val="1F2937"/>
          <w:sz w:val="20"/>
        </w:rPr>
        <w:t>只有满足上式的命中Token才进入有效Token命中率分子；否则记为逻辑命中或负收益命中。</w:t>
      </w:r>
    </w:p>
    <w:p>
      <w:pPr>
        <w:pStyle w:val="Heading2"/>
        <w:keepNext/>
        <w:keepLines/>
      </w:pPr>
      <w:r>
        <w:rPr>
          <w:rFonts w:ascii="Calibri" w:hAnsi="Calibri" w:eastAsia="Noto Sans CJK SC"/>
          <w:b/>
          <w:color w:val="2E74B5"/>
          <w:sz w:val="26"/>
        </w:rPr>
        <w:t>4.2 推荐空白：受限单机的四选一层级决策</w:t>
      </w:r>
    </w:p>
    <w:p>
      <w:pPr>
        <w:keepNext w:val="0"/>
        <w:spacing w:before="0" w:after="120" w:line="264" w:lineRule="auto"/>
        <w:jc w:val="left"/>
      </w:pPr>
      <w:r>
        <w:rPr>
          <w:rFonts w:ascii="Calibri" w:hAnsi="Calibri" w:eastAsia="Noto Sans CJK SC"/>
          <w:b w:val="0"/>
          <w:i w:val="0"/>
          <w:color w:val="1F2937"/>
          <w:sz w:val="22"/>
        </w:rPr>
        <w:t>对每个暂停会话或KV块，候选动作是保留GPU、迁移DRAM、迁移NVMe或直接逐出并在返回时重算。现有工作提供了TTL、预测、通用分层和专用硬件方案，但对RTX 5090 32GB＋64GB DRAM的联合交叉面缺少直接验证。</w:t>
      </w:r>
    </w:p>
    <w:p>
      <w:pPr>
        <w:keepLines/>
        <w:spacing w:before="100" w:after="160"/>
        <w:jc w:val="center"/>
      </w:pPr>
      <w:r>
        <w:rPr>
          <w:rFonts w:ascii="Calibri" w:hAnsi="Calibri" w:eastAsia="Noto Sans CJK SC"/>
          <w:i/>
          <w:color w:val="1F2937"/>
          <w:sz w:val="22"/>
        </w:rPr>
        <w:t>Benefit(i,l) = p</w:t>
      </w:r>
      <w:r>
        <w:rPr>
          <w:rFonts w:ascii="Calibri" w:hAnsi="Calibri" w:eastAsia="Noto Sans CJK SC"/>
          <w:i w:val="0"/>
          <w:color w:val="1F2937"/>
          <w:sz w:val="22"/>
          <w:vertAlign w:val="subscript"/>
        </w:rPr>
        <w:t>return</w:t>
      </w:r>
      <w:r>
        <w:rPr>
          <w:rFonts w:ascii="Calibri" w:hAnsi="Calibri" w:eastAsia="Noto Sans CJK SC"/>
          <w:i w:val="0"/>
          <w:color w:val="1F2937"/>
          <w:sz w:val="22"/>
        </w:rPr>
        <w:t>(i) · [T</w:t>
      </w:r>
      <w:r>
        <w:rPr>
          <w:rFonts w:ascii="Calibri" w:hAnsi="Calibri" w:eastAsia="Noto Sans CJK SC"/>
          <w:i w:val="0"/>
          <w:color w:val="1F2937"/>
          <w:sz w:val="22"/>
          <w:vertAlign w:val="subscript"/>
        </w:rPr>
        <w:t>recompute</w:t>
      </w:r>
      <w:r>
        <w:rPr>
          <w:rFonts w:ascii="Calibri" w:hAnsi="Calibri" w:eastAsia="Noto Sans CJK SC"/>
          <w:i w:val="0"/>
          <w:color w:val="1F2937"/>
          <w:sz w:val="22"/>
        </w:rPr>
        <w:t>(i) − T</w:t>
      </w:r>
      <w:r>
        <w:rPr>
          <w:rFonts w:ascii="Calibri" w:hAnsi="Calibri" w:eastAsia="Noto Sans CJK SC"/>
          <w:i w:val="0"/>
          <w:color w:val="1F2937"/>
          <w:sz w:val="22"/>
          <w:vertAlign w:val="subscript"/>
        </w:rPr>
        <w:t>restore</w:t>
      </w:r>
      <w:r>
        <w:rPr>
          <w:rFonts w:ascii="Calibri" w:hAnsi="Calibri" w:eastAsia="Noto Sans CJK SC"/>
          <w:i w:val="0"/>
          <w:color w:val="1F2937"/>
          <w:sz w:val="22"/>
        </w:rPr>
        <w:t>(i,l)] − C</w:t>
      </w:r>
      <w:r>
        <w:rPr>
          <w:rFonts w:ascii="Calibri" w:hAnsi="Calibri" w:eastAsia="Noto Sans CJK SC"/>
          <w:i w:val="0"/>
          <w:color w:val="1F2937"/>
          <w:sz w:val="22"/>
          <w:vertAlign w:val="subscript"/>
        </w:rPr>
        <w:t>move</w:t>
      </w:r>
      <w:r>
        <w:rPr>
          <w:rFonts w:ascii="Calibri" w:hAnsi="Calibri" w:eastAsia="Noto Sans CJK SC"/>
          <w:i w:val="0"/>
          <w:color w:val="1F2937"/>
          <w:sz w:val="22"/>
        </w:rPr>
        <w:t>(i,l) − λ</w:t>
      </w:r>
      <w:r>
        <w:rPr>
          <w:rFonts w:ascii="Calibri" w:hAnsi="Calibri" w:eastAsia="Noto Sans CJK SC"/>
          <w:i w:val="0"/>
          <w:color w:val="1F2937"/>
          <w:sz w:val="22"/>
          <w:vertAlign w:val="subscript"/>
        </w:rPr>
        <w:t>l</w:t>
      </w:r>
      <w:r>
        <w:rPr>
          <w:rFonts w:ascii="Calibri" w:hAnsi="Calibri" w:eastAsia="Noto Sans CJK SC"/>
          <w:i w:val="0"/>
          <w:color w:val="1F2937"/>
          <w:sz w:val="22"/>
        </w:rPr>
        <w:t xml:space="preserve"> · Bytes(i)</w:t>
      </w:r>
    </w:p>
    <w:p>
      <w:pPr>
        <w:keepNext w:val="0"/>
        <w:spacing w:before="0" w:after="120" w:line="264" w:lineRule="auto"/>
        <w:jc w:val="left"/>
      </w:pPr>
      <w:r>
        <w:rPr>
          <w:rFonts w:ascii="Calibri" w:hAnsi="Calibri" w:eastAsia="Noto Sans CJK SC"/>
          <w:b w:val="0"/>
          <w:i w:val="0"/>
          <w:color w:val="1F2937"/>
          <w:sz w:val="20"/>
        </w:rPr>
        <w:t>该式是待实验验证的候选决策框架，不是已完成算法。若所有层级收益均不为正，则选择重算。容量约束下优先保留单位字节收益更高的条目。</w:t>
      </w:r>
    </w:p>
    <w:p>
      <w:pPr>
        <w:pStyle w:val="Heading2"/>
        <w:keepNext/>
        <w:keepLines/>
      </w:pPr>
      <w:r>
        <w:rPr>
          <w:rFonts w:ascii="Calibri" w:hAnsi="Calibri" w:eastAsia="Noto Sans CJK SC"/>
          <w:b/>
          <w:color w:val="2E74B5"/>
          <w:sz w:val="26"/>
        </w:rPr>
        <w:t>4.3 高风险空白：代码来源/依赖感知非前缀复用</w:t>
      </w:r>
    </w:p>
    <w:p>
      <w:pPr>
        <w:keepNext w:val="0"/>
        <w:spacing w:before="0" w:after="120" w:line="264" w:lineRule="auto"/>
        <w:jc w:val="left"/>
      </w:pPr>
      <w:r>
        <w:rPr>
          <w:rFonts w:ascii="Calibri" w:hAnsi="Calibri" w:eastAsia="Noto Sans CJK SC"/>
          <w:b w:val="0"/>
          <w:i w:val="0"/>
          <w:color w:val="1F2937"/>
          <w:sz w:val="22"/>
        </w:rPr>
        <w:t>同一段代码文本在不同前置上下文或位置上通常不具有相同KV状态。CacheBlend、EPIC、Irminsul等已研究选择性重算或位置无关复用，同时安全文献暴露了侧信道、反演和劫持风险。因此RQ5只能在精确前缀主线完成后启动，且任何近似都必须通过Logits、Token和任务成功三级门槛。</w:t>
      </w:r>
    </w:p>
    <w:p>
      <w:pPr>
        <w:pStyle w:val="Heading1"/>
        <w:keepNext/>
        <w:keepLines/>
      </w:pPr>
      <w:r>
        <w:rPr>
          <w:rFonts w:ascii="Calibri" w:hAnsi="Calibri" w:eastAsia="Noto Sans CJK SC"/>
          <w:b/>
          <w:color w:val="2E74B5"/>
          <w:sz w:val="32"/>
        </w:rPr>
        <w:t>5. 候选路线评分与选择</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650"/>
        <w:gridCol w:w="2750"/>
        <w:gridCol w:w="900"/>
        <w:gridCol w:w="1540"/>
        <w:gridCol w:w="3520"/>
      </w:tblGrid>
      <w:tr>
        <w:trPr>
          <w:tblHeader w:val="true"/>
          <w:cantSplit/>
        </w:trPr>
        <w:tc>
          <w:tcPr>
            <w:tcW w:type="dxa" w:w="65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路线</w:t>
            </w:r>
          </w:p>
        </w:tc>
        <w:tc>
          <w:tcPr>
            <w:tcW w:type="dxa" w:w="27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方向</w:t>
            </w:r>
          </w:p>
        </w:tc>
        <w:tc>
          <w:tcPr>
            <w:tcW w:type="dxa" w:w="9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加权分</w:t>
            </w:r>
          </w:p>
        </w:tc>
        <w:tc>
          <w:tcPr>
            <w:tcW w:type="dxa" w:w="15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决策</w:t>
            </w:r>
          </w:p>
        </w:tc>
        <w:tc>
          <w:tcPr>
            <w:tcW w:type="dxa" w:w="35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理由</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A</w:t>
            </w:r>
          </w:p>
        </w:tc>
        <w:tc>
          <w:tcPr>
            <w:tcW w:type="dxa" w:w="27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继续追求原始前缀Token命中率</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3.40</w:t>
            </w:r>
          </w:p>
        </w:tc>
        <w:tc>
          <w:tcPr>
            <w:tcW w:type="dxa" w:w="1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不作为主线</w:t>
            </w:r>
          </w:p>
        </w:tc>
        <w:tc>
          <w:tcPr>
            <w:tcW w:type="dxa" w:w="35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已有真实轨迹接近或超过原95%目标；能做基线但难形成新贡献。</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B</w:t>
            </w:r>
          </w:p>
        </w:tc>
        <w:tc>
          <w:tcPr>
            <w:tcW w:type="dxa" w:w="27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通用GPU/DRAM/NVMe多层KV缓存</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3.00</w:t>
            </w:r>
          </w:p>
        </w:tc>
        <w:tc>
          <w:tcPr>
            <w:tcW w:type="dxa" w:w="1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不单独作为主线</w:t>
            </w:r>
          </w:p>
        </w:tc>
        <w:tc>
          <w:tcPr>
            <w:tcW w:type="dxa" w:w="35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Strata、Tutti、KVDrive、HyMCache等已占据通用分层方向。</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C</w:t>
            </w:r>
          </w:p>
        </w:tc>
        <w:tc>
          <w:tcPr>
            <w:tcW w:type="dxa" w:w="27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宽泛Agent感知调度/TTL/语义淘汰</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3.00</w:t>
            </w:r>
          </w:p>
        </w:tc>
        <w:tc>
          <w:tcPr>
            <w:tcW w:type="dxa" w:w="1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仅作强基线</w:t>
            </w:r>
          </w:p>
        </w:tc>
        <w:tc>
          <w:tcPr>
            <w:tcW w:type="dxa" w:w="35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CacheWise、Continuum、ThunderAgent、CONCUR、SAECache覆盖度高。</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D</w:t>
            </w:r>
          </w:p>
        </w:tc>
        <w:tc>
          <w:tcPr>
            <w:tcW w:type="dxa" w:w="27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受限单机的有效复用边界与价值密度分层保留</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4.10</w:t>
            </w:r>
          </w:p>
        </w:tc>
        <w:tc>
          <w:tcPr>
            <w:tcW w:type="dxa" w:w="1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推荐主线</w:t>
            </w:r>
          </w:p>
        </w:tc>
        <w:tc>
          <w:tcPr>
            <w:tcW w:type="dxa" w:w="35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面向RTX 5090＋64GB DRAM＋NVMe，联合决定GPU保留、下沉或重算，并用有效命中与成功任务成本评估。</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E</w:t>
            </w:r>
          </w:p>
        </w:tc>
        <w:tc>
          <w:tcPr>
            <w:tcW w:type="dxa" w:w="27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仓库来源/依赖感知的非前缀KV安全复用</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3.25</w:t>
            </w:r>
          </w:p>
        </w:tc>
        <w:tc>
          <w:tcPr>
            <w:tcW w:type="dxa" w:w="1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高风险拓展</w:t>
            </w:r>
          </w:p>
        </w:tc>
        <w:tc>
          <w:tcPr>
            <w:tcW w:type="dxa" w:w="35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潜在创新较强，但Transformer依赖、位置与攻击面使正确性风险很高。</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F</w:t>
            </w:r>
          </w:p>
        </w:tc>
        <w:tc>
          <w:tcPr>
            <w:tcW w:type="dxa" w:w="27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仅构建Agent Trace Replay基准</w:t>
            </w:r>
          </w:p>
        </w:tc>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3.40</w:t>
            </w:r>
          </w:p>
        </w:tc>
        <w:tc>
          <w:tcPr>
            <w:tcW w:type="dxa" w:w="1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支撑工具，不作主线</w:t>
            </w:r>
          </w:p>
        </w:tc>
        <w:tc>
          <w:tcPr>
            <w:tcW w:type="dxa" w:w="35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TraceLab和XPerf已提供相近能力；仍是实验可复现的必要基础设施。</w:t>
            </w:r>
          </w:p>
        </w:tc>
      </w:tr>
    </w:tbl>
    <w:p>
      <w:pPr>
        <w:spacing w:before="0" w:after="40" w:line="240" w:lineRule="auto"/>
      </w:pPr>
      <w:r>
        <w:rPr>
          <w:rFonts w:ascii="Calibri" w:hAnsi="Calibri" w:eastAsia="Noto Sans CJK SC"/>
          <w:sz w:val="2"/>
        </w:rPr>
      </w:r>
    </w:p>
    <w:p>
      <w:pPr>
        <w:keepNext w:val="0"/>
        <w:spacing w:before="0" w:after="120" w:line="264" w:lineRule="auto"/>
        <w:jc w:val="left"/>
      </w:pPr>
      <w:r>
        <w:rPr>
          <w:rFonts w:ascii="Calibri" w:hAnsi="Calibri" w:eastAsia="Noto Sans CJK SC"/>
          <w:b w:val="0"/>
          <w:i/>
          <w:color w:val="5B6573"/>
          <w:sz w:val="19"/>
        </w:rPr>
        <w:t>评分权重：新颖性40%、可行性20%、证据支撑15%、范围可控15%、安全性10%。加权分只辅助决策：A和F虽可行，但新颖性不足；E虽新颖，但首期正确性风险不可接受。</w:t>
      </w:r>
    </w:p>
    <w:p>
      <w:pPr>
        <w:spacing w:before="120" w:after="160" w:line="264" w:lineRule="auto"/>
        <w:ind w:left="115" w:right="58"/>
        <w:shd w:fill="EAF4EA" w:val="clear"/>
        <w:pBdr>
          <w:left w:val="single" w:sz="18" w:space="8" w:color="548235"/>
        </w:pBdr>
      </w:pPr>
      <w:r>
        <w:rPr>
          <w:rFonts w:ascii="Calibri" w:hAnsi="Calibri" w:eastAsia="Noto Sans CJK SC"/>
          <w:b/>
          <w:color w:val="1F4D78"/>
          <w:sz w:val="20"/>
        </w:rPr>
        <w:t xml:space="preserve">路线D获选  </w:t>
      </w:r>
      <w:r>
        <w:rPr>
          <w:rFonts w:ascii="Calibri" w:hAnsi="Calibri" w:eastAsia="Noto Sans CJK SC"/>
          <w:color w:val="1F2937"/>
          <w:sz w:val="20"/>
        </w:rPr>
        <w:t>受限单机的有效复用边界与价值密度分层保留获得4.10/5，既能使用现有5090/64GB环境完成，又与通用分层、TTL和Agent调度形成可解释差异。</w:t>
      </w:r>
    </w:p>
    <w:p>
      <w:pPr>
        <w:pStyle w:val="Heading1"/>
        <w:keepNext/>
        <w:keepLines/>
      </w:pPr>
      <w:r>
        <w:rPr>
          <w:rFonts w:ascii="Calibri" w:hAnsi="Calibri" w:eastAsia="Noto Sans CJK SC"/>
          <w:b/>
          <w:color w:val="2E74B5"/>
          <w:sz w:val="32"/>
        </w:rPr>
        <w:t>6. 推荐研究主线的精确定义</w:t>
      </w:r>
    </w:p>
    <w:p>
      <w:pPr>
        <w:pStyle w:val="Heading2"/>
        <w:keepNext/>
        <w:keepLines/>
      </w:pPr>
      <w:r>
        <w:rPr>
          <w:rFonts w:ascii="Calibri" w:hAnsi="Calibri" w:eastAsia="Noto Sans CJK SC"/>
          <w:b/>
          <w:color w:val="2E74B5"/>
          <w:sz w:val="26"/>
        </w:rPr>
        <w:t>6.1 研究对象</w:t>
      </w:r>
    </w:p>
    <w:p>
      <w:pPr>
        <w:keepNext w:val="0"/>
        <w:spacing w:before="0" w:after="120" w:line="264" w:lineRule="auto"/>
        <w:jc w:val="left"/>
      </w:pPr>
      <w:r>
        <w:rPr>
          <w:rFonts w:ascii="Calibri" w:hAnsi="Calibri" w:eastAsia="Noto Sans CJK SC"/>
          <w:b w:val="0"/>
          <w:i w:val="0"/>
          <w:color w:val="1F2937"/>
          <w:sz w:val="22"/>
        </w:rPr>
        <w:t>研究暂停/恢复型Coding Agent会话：一次任务由多次LLM调用与工具执行交替组成，后续调用通常追加少量Token，但返回时间不确定。系统在每次暂停时决定KV状态的驻留层级，在会话恢复时决定加载或重算。</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700"/>
        <w:gridCol w:w="7660"/>
      </w:tblGrid>
      <w:tr>
        <w:trPr>
          <w:tblHeader w:val="true"/>
          <w:cantSplit/>
        </w:trPr>
        <w:tc>
          <w:tcPr>
            <w:tcW w:type="dxa" w:w="17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边界</w:t>
            </w:r>
          </w:p>
        </w:tc>
        <w:tc>
          <w:tcPr>
            <w:tcW w:type="dxa" w:w="76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首期定义</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部署</w:t>
            </w:r>
          </w:p>
        </w:tc>
        <w:tc>
          <w:tcPr>
            <w:tcW w:type="dxa" w:w="7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单节点Ubuntu；RTX 5090 32GB；系统内存64GB；本地NVMe规格待确认</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工作负载</w:t>
            </w:r>
          </w:p>
        </w:tc>
        <w:tc>
          <w:tcPr>
            <w:tcW w:type="dxa" w:w="7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单Agent或独立会话的Coding Agent；多Agent仅作外推风险讨论</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模型</w:t>
            </w:r>
          </w:p>
        </w:tc>
        <w:tc>
          <w:tcPr>
            <w:tcW w:type="dxa" w:w="7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先选一个GQA模型；BF16/FP16；模型、Tokenizer、RoPE和引擎版本进入缓存键</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复用</w:t>
            </w:r>
          </w:p>
        </w:tc>
        <w:tc>
          <w:tcPr>
            <w:tcW w:type="dxa" w:w="7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精确Token前缀；只复用严格兼容的KV；不按文本相似度直接复用</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动作</w:t>
            </w:r>
          </w:p>
        </w:tc>
        <w:tc>
          <w:tcPr>
            <w:tcW w:type="dxa" w:w="7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GPU保留 / DRAM迁移 / NVMe迁移 / 逐出后重算</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目标</w:t>
            </w:r>
          </w:p>
        </w:tc>
        <w:tc>
          <w:tcPr>
            <w:tcW w:type="dxa" w:w="7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最大化有效复用和会话级收益，同时控制数据移动、容量与任务正确性</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6.2 系统输入与决策变量</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600"/>
        <w:gridCol w:w="4080"/>
        <w:gridCol w:w="3680"/>
      </w:tblGrid>
      <w:tr>
        <w:trPr>
          <w:tblHeader w:val="true"/>
          <w:cantSplit/>
        </w:trPr>
        <w:tc>
          <w:tcPr>
            <w:tcW w:type="dxa" w:w="16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信号</w:t>
            </w:r>
          </w:p>
        </w:tc>
        <w:tc>
          <w:tcPr>
            <w:tcW w:type="dxa" w:w="40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示例字段</w:t>
            </w:r>
          </w:p>
        </w:tc>
        <w:tc>
          <w:tcPr>
            <w:tcW w:type="dxa" w:w="36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作用</w:t>
            </w:r>
          </w:p>
        </w:tc>
      </w:tr>
      <w:tr>
        <w:trPr>
          <w:cantSplit/>
        </w:trPr>
        <w:tc>
          <w:tcPr>
            <w:tcW w:type="dxa" w:w="1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返回时间</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工具类型、历史时长、是否等待人类确认、会话状态</w:t>
            </w:r>
          </w:p>
        </w:tc>
        <w:tc>
          <w:tcPr>
            <w:tcW w:type="dxa" w:w="36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估计p_return和可容忍驻留时间</w:t>
            </w:r>
          </w:p>
        </w:tc>
      </w:tr>
      <w:tr>
        <w:trPr>
          <w:cantSplit/>
        </w:trPr>
        <w:tc>
          <w:tcPr>
            <w:tcW w:type="dxa" w:w="1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计算价值</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前缀Token数、模型/层、实测Prefill时间</w:t>
            </w:r>
          </w:p>
        </w:tc>
        <w:tc>
          <w:tcPr>
            <w:tcW w:type="dxa" w:w="36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估计重算成本</w:t>
            </w:r>
          </w:p>
        </w:tc>
      </w:tr>
      <w:tr>
        <w:trPr>
          <w:cantSplit/>
        </w:trPr>
        <w:tc>
          <w:tcPr>
            <w:tcW w:type="dxa" w:w="1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迁移成本</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KV字节、层级带宽、排队、反序列化</w:t>
            </w:r>
          </w:p>
        </w:tc>
        <w:tc>
          <w:tcPr>
            <w:tcW w:type="dxa" w:w="36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判断恢复是否快于重算</w:t>
            </w:r>
          </w:p>
        </w:tc>
      </w:tr>
      <w:tr>
        <w:trPr>
          <w:cantSplit/>
        </w:trPr>
        <w:tc>
          <w:tcPr>
            <w:tcW w:type="dxa" w:w="1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容量压力</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GPU/DRAM/NVMe占用、活跃会话、预期新请求</w:t>
            </w:r>
          </w:p>
        </w:tc>
        <w:tc>
          <w:tcPr>
            <w:tcW w:type="dxa" w:w="36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形成单位字节价值和准入</w:t>
            </w:r>
          </w:p>
        </w:tc>
      </w:tr>
      <w:tr>
        <w:trPr>
          <w:cantSplit/>
        </w:trPr>
        <w:tc>
          <w:tcPr>
            <w:tcW w:type="dxa" w:w="1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安全兼容</w:t>
            </w:r>
          </w:p>
        </w:tc>
        <w:tc>
          <w:tcPr>
            <w:tcW w:type="dxa" w:w="40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tenant、project、model、tokenizer、layout、dtype</w:t>
            </w:r>
          </w:p>
        </w:tc>
        <w:tc>
          <w:tcPr>
            <w:tcW w:type="dxa" w:w="36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决定是否允许查询和复用</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6.3 项目贡献拆分</w:t>
      </w:r>
    </w:p>
    <w:p>
      <w:pPr>
        <w:keepLines/>
        <w:spacing w:before="0" w:after="160" w:line="280" w:lineRule="auto"/>
        <w:numPr>
          <w:ilvl w:val="0"/>
          <w:numId w:val="10"/>
        </w:numPr>
      </w:pPr>
      <w:r>
        <w:rPr>
          <w:rFonts w:ascii="Calibri" w:hAnsi="Calibri" w:eastAsia="Noto Sans CJK SC"/>
          <w:color w:val="1F2937"/>
          <w:sz w:val="21"/>
        </w:rPr>
        <w:t>测量贡献：量化理论命中、实际驻留命中与有效收益之间的差距，并给出按停顿、长度、并发和层级划分的边界图。</w:t>
      </w:r>
    </w:p>
    <w:p>
      <w:pPr>
        <w:keepLines/>
        <w:spacing w:before="0" w:after="160" w:line="280" w:lineRule="auto"/>
        <w:numPr>
          <w:ilvl w:val="0"/>
          <w:numId w:val="10"/>
        </w:numPr>
      </w:pPr>
      <w:r>
        <w:rPr>
          <w:rFonts w:ascii="Calibri" w:hAnsi="Calibri" w:eastAsia="Noto Sans CJK SC"/>
          <w:color w:val="1F2937"/>
          <w:sz w:val="21"/>
        </w:rPr>
        <w:t>系统贡献：在受限单机上实现GPU/DRAM/NVMe/重算的可审计联合决策，并提供强基线与完整消融。</w:t>
      </w:r>
    </w:p>
    <w:p>
      <w:pPr>
        <w:keepLines/>
        <w:spacing w:before="0" w:after="160" w:line="280" w:lineRule="auto"/>
        <w:numPr>
          <w:ilvl w:val="0"/>
          <w:numId w:val="10"/>
        </w:numPr>
      </w:pPr>
      <w:r>
        <w:rPr>
          <w:rFonts w:ascii="Calibri" w:hAnsi="Calibri" w:eastAsia="Noto Sans CJK SC"/>
          <w:color w:val="1F2937"/>
          <w:sz w:val="21"/>
        </w:rPr>
        <w:t>评价贡献：把原始命中、负收益命中、数据移动和每成功任务成本放在同一端到端框架中。</w:t>
      </w:r>
    </w:p>
    <w:p>
      <w:pPr>
        <w:keepLines/>
        <w:spacing w:before="0" w:after="160" w:line="280" w:lineRule="auto"/>
        <w:numPr>
          <w:ilvl w:val="0"/>
          <w:numId w:val="10"/>
        </w:numPr>
      </w:pPr>
      <w:r>
        <w:rPr>
          <w:rFonts w:ascii="Calibri" w:hAnsi="Calibri" w:eastAsia="Noto Sans CJK SC"/>
          <w:color w:val="1F2937"/>
          <w:sz w:val="21"/>
        </w:rPr>
        <w:t>工程贡献：沉淀可重复的Trace、微基准、事件日志、配置快照和一键实验脚本；但不把Replay本身包装为首创。</w:t>
      </w:r>
    </w:p>
    <w:p>
      <w:pPr>
        <w:pStyle w:val="Heading1"/>
        <w:keepNext/>
        <w:keepLines/>
      </w:pPr>
      <w:r>
        <w:rPr>
          <w:rFonts w:ascii="Calibri" w:hAnsi="Calibri" w:eastAsia="Noto Sans CJK SC"/>
          <w:b/>
          <w:color w:val="2E74B5"/>
          <w:sz w:val="32"/>
        </w:rPr>
        <w:t>7. 研究问题与可证伪假设</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920"/>
        <w:gridCol w:w="3200"/>
        <w:gridCol w:w="2700"/>
        <w:gridCol w:w="2540"/>
      </w:tblGrid>
      <w:tr>
        <w:trPr>
          <w:tblHeader w:val="true"/>
          <w:cantSplit/>
        </w:trPr>
        <w:tc>
          <w:tcPr>
            <w:tcW w:type="dxa" w:w="9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ID</w:t>
            </w:r>
          </w:p>
        </w:tc>
        <w:tc>
          <w:tcPr>
            <w:tcW w:type="dxa" w:w="3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研究问题</w:t>
            </w:r>
          </w:p>
        </w:tc>
        <w:tc>
          <w:tcPr>
            <w:tcW w:type="dxa" w:w="27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方法</w:t>
            </w:r>
          </w:p>
        </w:tc>
        <w:tc>
          <w:tcPr>
            <w:tcW w:type="dxa" w:w="25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退出标准</w:t>
            </w:r>
          </w:p>
        </w:tc>
      </w:tr>
      <w:tr>
        <w:trPr>
          <w:cantSplit/>
        </w:trPr>
        <w:tc>
          <w:tcPr>
            <w:tcW w:type="dxa" w:w="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RQ1</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在RTX 5090 32GB显存约束下，Code Agent理论前缀复用率与真实有效复用率之间有多大差距？</w:t>
            </w:r>
          </w:p>
        </w:tc>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Trace重放＋可控合成轨迹；逐层记录查询、传输、恢复、重算时间</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给出按负载分区的有效复用边界图，并能解释主要失效来源</w:t>
            </w:r>
          </w:p>
        </w:tc>
      </w:tr>
      <w:tr>
        <w:trPr>
          <w:cantSplit/>
        </w:trPr>
        <w:tc>
          <w:tcPr>
            <w:tcW w:type="dxa" w:w="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RQ2</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暂停会话何时应留在GPU、迁移DRAM、迁移NVMe，或直接重算？</w:t>
            </w:r>
          </w:p>
        </w:tc>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微基准拟合load-vs-recompute交叉面；与固定阈值和固定TTL比较</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形成可测量的四选一决策规则，且不依赖单一固定阈值</w:t>
            </w:r>
          </w:p>
        </w:tc>
      </w:tr>
      <w:tr>
        <w:trPr>
          <w:cantSplit/>
        </w:trPr>
        <w:tc>
          <w:tcPr>
            <w:tcW w:type="dxa" w:w="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RQ3</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价值密度策略能否在相同容量下优于LRU、固定TTL和DRAM-only基线？</w:t>
            </w:r>
          </w:p>
        </w:tc>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等容量、等Trace、等模型对比；完整消融返回时间、重算成本和字节密度信号</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至少在两个真实/近真实负载区间稳定优于强基线，而非只在单一合成点获益</w:t>
            </w:r>
          </w:p>
        </w:tc>
      </w:tr>
      <w:tr>
        <w:trPr>
          <w:cantSplit/>
        </w:trPr>
        <w:tc>
          <w:tcPr>
            <w:tcW w:type="dxa" w:w="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RQ4</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缓存收益在加入任务成功率与端到端资源成本后是否仍然成立？</w:t>
            </w:r>
          </w:p>
        </w:tc>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固定模型、Tokenizer、Prompt与Harness；对成功任务进行成本归一化</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性能结论与成功任务成本方向一致；若背离则明确否定原假设</w:t>
            </w:r>
          </w:p>
        </w:tc>
      </w:tr>
      <w:tr>
        <w:trPr>
          <w:cantSplit/>
        </w:trPr>
        <w:tc>
          <w:tcPr>
            <w:tcW w:type="dxa" w:w="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RQ5（拓展）</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仓库来源和依赖信息能否为代码局部修改后的非前缀复用提供安全约束？</w:t>
            </w:r>
          </w:p>
        </w:tc>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仅在精确前缀主线完成后，以选择性重计算和严格输出校验开展</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任何近似复用都必须通过质量门槛；不满足即停止该路线</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7.1 核心RQ</w:t>
      </w:r>
    </w:p>
    <w:p>
      <w:pPr>
        <w:keepNext w:val="0"/>
        <w:spacing w:before="0" w:after="60" w:line="264" w:lineRule="auto"/>
        <w:jc w:val="left"/>
      </w:pPr>
      <w:r>
        <w:rPr>
          <w:rFonts w:ascii="Calibri" w:hAnsi="Calibri" w:eastAsia="Noto Sans CJK SC"/>
          <w:b/>
          <w:i w:val="0"/>
          <w:color w:val="1F4D78"/>
          <w:sz w:val="21"/>
        </w:rPr>
        <w:t>RQ1  在RTX 5090 32GB显存约束下，Code Agent理论前缀复用率与真实有效复用率之间有多大差距？</w:t>
      </w:r>
    </w:p>
    <w:p>
      <w:pPr>
        <w:keepNext w:val="0"/>
        <w:spacing w:before="0" w:after="140" w:line="264" w:lineRule="auto"/>
        <w:jc w:val="left"/>
      </w:pPr>
      <w:r>
        <w:rPr>
          <w:rFonts w:ascii="Calibri" w:hAnsi="Calibri" w:eastAsia="Noto Sans CJK SC"/>
          <w:b w:val="0"/>
          <w:i w:val="0"/>
          <w:color w:val="1F2937"/>
          <w:sz w:val="19"/>
        </w:rPr>
        <w:t>压力维度：会话间隔、并发数、上下文长度、缓存预算、修改位置。指标：理论Token命中率、有效Token命中率、逐出率、Prefill放大、TTFT。</w:t>
      </w:r>
    </w:p>
    <w:p>
      <w:pPr>
        <w:keepNext w:val="0"/>
        <w:spacing w:before="0" w:after="60" w:line="264" w:lineRule="auto"/>
        <w:jc w:val="left"/>
      </w:pPr>
      <w:r>
        <w:rPr>
          <w:rFonts w:ascii="Calibri" w:hAnsi="Calibri" w:eastAsia="Noto Sans CJK SC"/>
          <w:b/>
          <w:i w:val="0"/>
          <w:color w:val="1F4D78"/>
          <w:sz w:val="21"/>
        </w:rPr>
        <w:t>RQ2  暂停会话何时应留在GPU、迁移DRAM、迁移NVMe，或直接重算？</w:t>
      </w:r>
    </w:p>
    <w:p>
      <w:pPr>
        <w:keepNext w:val="0"/>
        <w:spacing w:before="0" w:after="140" w:line="264" w:lineRule="auto"/>
        <w:jc w:val="left"/>
      </w:pPr>
      <w:r>
        <w:rPr>
          <w:rFonts w:ascii="Calibri" w:hAnsi="Calibri" w:eastAsia="Noto Sans CJK SC"/>
          <w:b w:val="0"/>
          <w:i w:val="0"/>
          <w:color w:val="1F2937"/>
          <w:sz w:val="19"/>
        </w:rPr>
        <w:t>压力维度：预计返回时间、KV字节数、前缀长度、层级带宽/延迟、GPU排队压力。指标：迁移时间、重算时间、GPU占用、数据移动量、恢复TTFT。</w:t>
      </w:r>
    </w:p>
    <w:p>
      <w:pPr>
        <w:keepNext w:val="0"/>
        <w:spacing w:before="0" w:after="60" w:line="264" w:lineRule="auto"/>
        <w:jc w:val="left"/>
      </w:pPr>
      <w:r>
        <w:rPr>
          <w:rFonts w:ascii="Calibri" w:hAnsi="Calibri" w:eastAsia="Noto Sans CJK SC"/>
          <w:b/>
          <w:i w:val="0"/>
          <w:color w:val="1F4D78"/>
          <w:sz w:val="21"/>
        </w:rPr>
        <w:t>RQ3  价值密度策略能否在相同容量下优于LRU、固定TTL和DRAM-only基线？</w:t>
      </w:r>
    </w:p>
    <w:p>
      <w:pPr>
        <w:keepNext w:val="0"/>
        <w:spacing w:before="0" w:after="140" w:line="264" w:lineRule="auto"/>
        <w:jc w:val="left"/>
      </w:pPr>
      <w:r>
        <w:rPr>
          <w:rFonts w:ascii="Calibri" w:hAnsi="Calibri" w:eastAsia="Noto Sans CJK SC"/>
          <w:b w:val="0"/>
          <w:i w:val="0"/>
          <w:color w:val="1F2937"/>
          <w:sz w:val="19"/>
        </w:rPr>
        <w:t>压力维度：策略、缓存容量、并发、停顿分布、工具类型。指标：有效命中、P50/P95/P99 TTFT、会话完成时间、吞吐、迁移字节。</w:t>
      </w:r>
    </w:p>
    <w:p>
      <w:pPr>
        <w:keepNext w:val="0"/>
        <w:spacing w:before="0" w:after="60" w:line="264" w:lineRule="auto"/>
        <w:jc w:val="left"/>
      </w:pPr>
      <w:r>
        <w:rPr>
          <w:rFonts w:ascii="Calibri" w:hAnsi="Calibri" w:eastAsia="Noto Sans CJK SC"/>
          <w:b/>
          <w:i w:val="0"/>
          <w:color w:val="1F4D78"/>
          <w:sz w:val="21"/>
        </w:rPr>
        <w:t>RQ4  缓存收益在加入任务成功率与端到端资源成本后是否仍然成立？</w:t>
      </w:r>
    </w:p>
    <w:p>
      <w:pPr>
        <w:keepNext w:val="0"/>
        <w:spacing w:before="0" w:after="140" w:line="264" w:lineRule="auto"/>
        <w:jc w:val="left"/>
      </w:pPr>
      <w:r>
        <w:rPr>
          <w:rFonts w:ascii="Calibri" w:hAnsi="Calibri" w:eastAsia="Noto Sans CJK SC"/>
          <w:b w:val="0"/>
          <w:i w:val="0"/>
          <w:color w:val="1F2937"/>
          <w:sz w:val="19"/>
        </w:rPr>
        <w:t>压力维度：缓存策略、Prompt/Harness固定与变化、任务难度。指标：成功率、代码测试通过率、每成功任务GPU秒/能耗/成本、输出一致性。</w:t>
      </w:r>
    </w:p>
    <w:p>
      <w:pPr>
        <w:pStyle w:val="Heading2"/>
        <w:keepNext/>
        <w:keepLines/>
      </w:pPr>
      <w:r>
        <w:rPr>
          <w:rFonts w:ascii="Calibri" w:hAnsi="Calibri" w:eastAsia="Noto Sans CJK SC"/>
          <w:b/>
          <w:color w:val="2E74B5"/>
          <w:sz w:val="26"/>
        </w:rPr>
        <w:t>7.2 可证伪假设</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900"/>
        <w:gridCol w:w="3150"/>
        <w:gridCol w:w="2720"/>
        <w:gridCol w:w="2590"/>
      </w:tblGrid>
      <w:tr>
        <w:trPr>
          <w:tblHeader w:val="true"/>
          <w:cantSplit/>
        </w:trPr>
        <w:tc>
          <w:tcPr>
            <w:tcW w:type="dxa" w:w="9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6"/>
              </w:rPr>
              <w:t>ID</w:t>
            </w:r>
          </w:p>
        </w:tc>
        <w:tc>
          <w:tcPr>
            <w:tcW w:type="dxa" w:w="31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6"/>
              </w:rPr>
              <w:t>假设</w:t>
            </w:r>
          </w:p>
        </w:tc>
        <w:tc>
          <w:tcPr>
            <w:tcW w:type="dxa" w:w="27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6"/>
              </w:rPr>
              <w:t>验证</w:t>
            </w:r>
          </w:p>
        </w:tc>
        <w:tc>
          <w:tcPr>
            <w:tcW w:type="dxa" w:w="259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6"/>
              </w:rPr>
              <w:t>证伪条件</w:t>
            </w:r>
          </w:p>
        </w:tc>
      </w:tr>
      <w:tr>
        <w:trPr>
          <w:cantSplit/>
        </w:trPr>
        <w:tc>
          <w:tcPr>
            <w:tcW w:type="dxa" w:w="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H1</w:t>
            </w:r>
          </w:p>
        </w:tc>
        <w:tc>
          <w:tcPr>
            <w:tcW w:type="dxa" w:w="31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追加型Code Agent轨迹的理论前缀复用很高，但32GB显存、暂停与并发会显著降低有效复用。</w:t>
            </w:r>
          </w:p>
        </w:tc>
        <w:tc>
          <w:tcPr>
            <w:tcW w:type="dxa" w:w="2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比较无限缓存理论值、GPU受限值和分层恢复后的有效值。</w:t>
            </w:r>
          </w:p>
        </w:tc>
        <w:tc>
          <w:tcPr>
            <w:tcW w:type="dxa" w:w="25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三者差异在所有代表性负载下均很小。</w:t>
            </w:r>
          </w:p>
        </w:tc>
      </w:tr>
      <w:tr>
        <w:trPr>
          <w:cantSplit/>
        </w:trPr>
        <w:tc>
          <w:tcPr>
            <w:tcW w:type="dxa" w:w="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H2</w:t>
            </w:r>
          </w:p>
        </w:tc>
        <w:tc>
          <w:tcPr>
            <w:tcW w:type="dxa" w:w="31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load-vs-recompute交叉点同时依赖前缀长度、层级带宽和排队压力，单一固定阈值无法覆盖。</w:t>
            </w:r>
          </w:p>
        </w:tc>
        <w:tc>
          <w:tcPr>
            <w:tcW w:type="dxa" w:w="2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对GPU/DRAM/NVMe分别拟合交叉面，并跨负载验证。</w:t>
            </w:r>
          </w:p>
        </w:tc>
        <w:tc>
          <w:tcPr>
            <w:tcW w:type="dxa" w:w="25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固定阈值在所有负载上与拟合策略等效。</w:t>
            </w:r>
          </w:p>
        </w:tc>
      </w:tr>
      <w:tr>
        <w:trPr>
          <w:cantSplit/>
        </w:trPr>
        <w:tc>
          <w:tcPr>
            <w:tcW w:type="dxa" w:w="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H3</w:t>
            </w:r>
          </w:p>
        </w:tc>
        <w:tc>
          <w:tcPr>
            <w:tcW w:type="dxa" w:w="31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联合返回概率、重算成本和字节占用的价值密度策略，在等容量下优于LRU和固定TTL。</w:t>
            </w:r>
          </w:p>
        </w:tc>
        <w:tc>
          <w:tcPr>
            <w:tcW w:type="dxa" w:w="2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与LRU、固定TTL、CacheWise式预测和DRAM-only基线做等容量对比。</w:t>
            </w:r>
          </w:p>
        </w:tc>
        <w:tc>
          <w:tcPr>
            <w:tcW w:type="dxa" w:w="25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强基线在主要指标上持平或更优。</w:t>
            </w:r>
          </w:p>
        </w:tc>
      </w:tr>
      <w:tr>
        <w:trPr>
          <w:cantSplit/>
        </w:trPr>
        <w:tc>
          <w:tcPr>
            <w:tcW w:type="dxa" w:w="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H4</w:t>
            </w:r>
          </w:p>
        </w:tc>
        <w:tc>
          <w:tcPr>
            <w:tcW w:type="dxa" w:w="31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优化原始命中率可能增加跨层数据移动或排队，因而降低吞吐；有效命中率与端到端收益相关性更高。</w:t>
            </w:r>
          </w:p>
        </w:tc>
        <w:tc>
          <w:tcPr>
            <w:tcW w:type="dxa" w:w="2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同时记录原始命中、有效命中、数据移动、TTFT和吞吐并做相关分析。</w:t>
            </w:r>
          </w:p>
        </w:tc>
        <w:tc>
          <w:tcPr>
            <w:tcW w:type="dxa" w:w="25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原始命中率始终能可靠预测端到端收益。</w:t>
            </w:r>
          </w:p>
        </w:tc>
      </w:tr>
      <w:tr>
        <w:trPr>
          <w:cantSplit/>
        </w:trPr>
        <w:tc>
          <w:tcPr>
            <w:tcW w:type="dxa" w:w="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H5</w:t>
            </w:r>
          </w:p>
        </w:tc>
        <w:tc>
          <w:tcPr>
            <w:tcW w:type="dxa" w:w="31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分层保留的性能增益在任务正确性与每成功任务成本校正后仍然存在。</w:t>
            </w:r>
          </w:p>
        </w:tc>
        <w:tc>
          <w:tcPr>
            <w:tcW w:type="dxa" w:w="2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运行代码任务测试并按成功任务归一化资源成本。</w:t>
            </w:r>
          </w:p>
        </w:tc>
        <w:tc>
          <w:tcPr>
            <w:tcW w:type="dxa" w:w="25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策略提高缓存指标但降低成功率或成功任务成本不降。</w:t>
            </w:r>
          </w:p>
        </w:tc>
      </w:tr>
      <w:tr>
        <w:trPr>
          <w:cantSplit/>
        </w:trPr>
        <w:tc>
          <w:tcPr>
            <w:tcW w:type="dxa" w:w="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H6（拓展）</w:t>
            </w:r>
          </w:p>
        </w:tc>
        <w:tc>
          <w:tcPr>
            <w:tcW w:type="dxa" w:w="31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仓库来源/依赖约束可安全恢复部分非前缀机会，但必须依赖选择性重算和严格校验。</w:t>
            </w:r>
          </w:p>
        </w:tc>
        <w:tc>
          <w:tcPr>
            <w:tcW w:type="dxa" w:w="2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局部修改合成实验＋Logits/Token/任务三级正确性门槛。</w:t>
            </w:r>
          </w:p>
        </w:tc>
        <w:tc>
          <w:tcPr>
            <w:tcW w:type="dxa" w:w="25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6"/>
              </w:rPr>
              <w:t>误差或失败率不可接受，或收益不足以覆盖修复成本。</w:t>
            </w:r>
          </w:p>
        </w:tc>
      </w:tr>
    </w:tbl>
    <w:p>
      <w:pPr>
        <w:spacing w:before="0" w:after="40" w:line="240" w:lineRule="auto"/>
      </w:pPr>
      <w:r>
        <w:rPr>
          <w:rFonts w:ascii="Calibri" w:hAnsi="Calibri" w:eastAsia="Noto Sans CJK SC"/>
          <w:sz w:val="2"/>
        </w:rPr>
      </w:r>
    </w:p>
    <w:p>
      <w:pPr>
        <w:spacing w:before="120" w:after="160" w:line="264" w:lineRule="auto"/>
        <w:ind w:left="115" w:right="58"/>
        <w:shd w:fill="FFF4CE" w:val="clear"/>
        <w:pBdr>
          <w:left w:val="single" w:sz="18" w:space="8" w:color="9C6500"/>
        </w:pBdr>
      </w:pPr>
      <w:r>
        <w:rPr>
          <w:rFonts w:ascii="Calibri" w:hAnsi="Calibri" w:eastAsia="Noto Sans CJK SC"/>
          <w:b/>
          <w:color w:val="1F4D78"/>
          <w:sz w:val="20"/>
        </w:rPr>
        <w:t xml:space="preserve">研究纪律  </w:t>
      </w:r>
      <w:r>
        <w:rPr>
          <w:rFonts w:ascii="Calibri" w:hAnsi="Calibri" w:eastAsia="Noto Sans CJK SC"/>
          <w:color w:val="1F2937"/>
          <w:sz w:val="20"/>
        </w:rPr>
        <w:t>若强基线在主要负载上持平或更优，或任务成功率/每成功任务成本恶化，则必须否定相应假设，而不是只展示有利切片。</w:t>
      </w:r>
    </w:p>
    <w:p>
      <w:pPr>
        <w:pStyle w:val="Heading1"/>
        <w:keepNext/>
        <w:keepLines/>
      </w:pPr>
      <w:r>
        <w:rPr>
          <w:rFonts w:ascii="Calibri" w:hAnsi="Calibri" w:eastAsia="Noto Sans CJK SC"/>
          <w:b/>
          <w:color w:val="2E74B5"/>
          <w:sz w:val="32"/>
        </w:rPr>
        <w:t>8. 基线与指标冻结建议</w:t>
      </w:r>
    </w:p>
    <w:p>
      <w:pPr>
        <w:pStyle w:val="Heading2"/>
        <w:keepNext/>
        <w:keepLines/>
      </w:pPr>
      <w:r>
        <w:rPr>
          <w:rFonts w:ascii="Calibri" w:hAnsi="Calibri" w:eastAsia="Noto Sans CJK SC"/>
          <w:b/>
          <w:color w:val="2E74B5"/>
          <w:sz w:val="26"/>
        </w:rPr>
        <w:t>8.1 强制基线</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850"/>
        <w:gridCol w:w="3000"/>
        <w:gridCol w:w="4410"/>
        <w:gridCol w:w="1100"/>
      </w:tblGrid>
      <w:tr>
        <w:trPr>
          <w:tblHeader w:val="true"/>
          <w:cantSplit/>
        </w:trPr>
        <w:tc>
          <w:tcPr>
            <w:tcW w:type="dxa" w:w="85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ID</w:t>
            </w:r>
          </w:p>
        </w:tc>
        <w:tc>
          <w:tcPr>
            <w:tcW w:type="dxa" w:w="30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基线</w:t>
            </w:r>
          </w:p>
        </w:tc>
        <w:tc>
          <w:tcPr>
            <w:tcW w:type="dxa" w:w="441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作用</w:t>
            </w:r>
          </w:p>
        </w:tc>
        <w:tc>
          <w:tcPr>
            <w:tcW w:type="dxa" w:w="11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强制</w:t>
            </w:r>
          </w:p>
        </w:tc>
      </w:tr>
      <w:tr>
        <w:trPr>
          <w:cantSplit/>
        </w:trPr>
        <w:tc>
          <w:tcPr>
            <w:tcW w:type="dxa" w:w="8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B0</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无跨请求缓存</w:t>
            </w:r>
          </w:p>
        </w:tc>
        <w:tc>
          <w:tcPr>
            <w:tcW w:type="dxa" w:w="44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端到端重算基线</w:t>
            </w:r>
          </w:p>
        </w:tc>
        <w:tc>
          <w:tcPr>
            <w:tcW w:type="dxa" w:w="11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是</w:t>
            </w:r>
          </w:p>
        </w:tc>
      </w:tr>
      <w:tr>
        <w:trPr>
          <w:cantSplit/>
        </w:trPr>
        <w:tc>
          <w:tcPr>
            <w:tcW w:type="dxa" w:w="8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B1</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vLLM精确前缀＋LRU</w:t>
            </w:r>
          </w:p>
        </w:tc>
        <w:tc>
          <w:tcPr>
            <w:tcW w:type="dxa" w:w="44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生产式基础前缀缓存</w:t>
            </w:r>
          </w:p>
        </w:tc>
        <w:tc>
          <w:tcPr>
            <w:tcW w:type="dxa" w:w="11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是</w:t>
            </w:r>
          </w:p>
        </w:tc>
      </w:tr>
      <w:tr>
        <w:trPr>
          <w:cantSplit/>
        </w:trPr>
        <w:tc>
          <w:tcPr>
            <w:tcW w:type="dxa" w:w="8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B2</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固定TTL GPU保留</w:t>
            </w:r>
          </w:p>
        </w:tc>
        <w:tc>
          <w:tcPr>
            <w:tcW w:type="dxa" w:w="44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Continuum/TTL思想的简化强基线</w:t>
            </w:r>
          </w:p>
        </w:tc>
        <w:tc>
          <w:tcPr>
            <w:tcW w:type="dxa" w:w="11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是</w:t>
            </w:r>
          </w:p>
        </w:tc>
      </w:tr>
      <w:tr>
        <w:trPr>
          <w:cantSplit/>
        </w:trPr>
        <w:tc>
          <w:tcPr>
            <w:tcW w:type="dxa" w:w="8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B3</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工具时长/返回概率预测淘汰</w:t>
            </w:r>
          </w:p>
        </w:tc>
        <w:tc>
          <w:tcPr>
            <w:tcW w:type="dxa" w:w="44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CacheWise式Agent感知基线</w:t>
            </w:r>
          </w:p>
        </w:tc>
        <w:tc>
          <w:tcPr>
            <w:tcW w:type="dxa" w:w="11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是</w:t>
            </w:r>
          </w:p>
        </w:tc>
      </w:tr>
      <w:tr>
        <w:trPr>
          <w:cantSplit/>
        </w:trPr>
        <w:tc>
          <w:tcPr>
            <w:tcW w:type="dxa" w:w="8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B4</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DRAM-only卸载（LMCache式）</w:t>
            </w:r>
          </w:p>
        </w:tc>
        <w:tc>
          <w:tcPr>
            <w:tcW w:type="dxa" w:w="44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验证单层主机内存迁移收益</w:t>
            </w:r>
          </w:p>
        </w:tc>
        <w:tc>
          <w:tcPr>
            <w:tcW w:type="dxa" w:w="11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是</w:t>
            </w:r>
          </w:p>
        </w:tc>
      </w:tr>
      <w:tr>
        <w:trPr>
          <w:cantSplit/>
        </w:trPr>
        <w:tc>
          <w:tcPr>
            <w:tcW w:type="dxa" w:w="8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B5</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GPU＋DRAM＋NVMe价值密度策略</w:t>
            </w:r>
          </w:p>
        </w:tc>
        <w:tc>
          <w:tcPr>
            <w:tcW w:type="dxa" w:w="44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本项目候选方案</w:t>
            </w:r>
          </w:p>
        </w:tc>
        <w:tc>
          <w:tcPr>
            <w:tcW w:type="dxa" w:w="11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是</w:t>
            </w:r>
          </w:p>
        </w:tc>
      </w:tr>
      <w:tr>
        <w:trPr>
          <w:cantSplit/>
        </w:trPr>
        <w:tc>
          <w:tcPr>
            <w:tcW w:type="dxa" w:w="8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B6</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Provider Keepalive</w:t>
            </w:r>
          </w:p>
        </w:tc>
        <w:tc>
          <w:tcPr>
            <w:tcW w:type="dxa" w:w="44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仅作API经济学分析对照，不与本地系统混为一谈</w:t>
            </w:r>
          </w:p>
        </w:tc>
        <w:tc>
          <w:tcPr>
            <w:tcW w:type="dxa" w:w="11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否</w:t>
            </w:r>
          </w:p>
        </w:tc>
      </w:tr>
    </w:tbl>
    <w:p>
      <w:pPr>
        <w:spacing w:before="0" w:after="40" w:line="240" w:lineRule="auto"/>
      </w:pPr>
      <w:r>
        <w:rPr>
          <w:rFonts w:ascii="Calibri" w:hAnsi="Calibri" w:eastAsia="Noto Sans CJK SC"/>
          <w:sz w:val="2"/>
        </w:rPr>
      </w:r>
    </w:p>
    <w:p>
      <w:pPr>
        <w:keepNext w:val="0"/>
        <w:spacing w:before="0" w:after="120" w:line="264" w:lineRule="auto"/>
        <w:jc w:val="left"/>
      </w:pPr>
      <w:r>
        <w:rPr>
          <w:rFonts w:ascii="Calibri" w:hAnsi="Calibri" w:eastAsia="Noto Sans CJK SC"/>
          <w:b w:val="0"/>
          <w:i w:val="0"/>
          <w:color w:val="1F2937"/>
          <w:sz w:val="20"/>
        </w:rPr>
        <w:t>B2和B3不要求完整复刻外部论文，但必须实现同类信息优势：固定TTL与工具时长/返回概率预测。B4用于分离“有无主机内存卸载”与“是否需要NVMe/价值密度”的贡献。</w:t>
      </w:r>
    </w:p>
    <w:p>
      <w:pPr>
        <w:pStyle w:val="Heading2"/>
        <w:keepNext/>
        <w:keepLines/>
      </w:pPr>
      <w:r>
        <w:rPr>
          <w:rFonts w:ascii="Calibri" w:hAnsi="Calibri" w:eastAsia="Noto Sans CJK SC"/>
          <w:b/>
          <w:color w:val="2E74B5"/>
          <w:sz w:val="26"/>
        </w:rPr>
        <w:t>8.2 指标体系</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050"/>
        <w:gridCol w:w="1900"/>
        <w:gridCol w:w="4850"/>
        <w:gridCol w:w="1560"/>
      </w:tblGrid>
      <w:tr>
        <w:trPr>
          <w:tblHeader w:val="true"/>
          <w:cantSplit/>
        </w:trPr>
        <w:tc>
          <w:tcPr>
            <w:tcW w:type="dxa" w:w="10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组别</w:t>
            </w:r>
          </w:p>
        </w:tc>
        <w:tc>
          <w:tcPr>
            <w:tcW w:type="dxa" w:w="19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指标</w:t>
            </w:r>
          </w:p>
        </w:tc>
        <w:tc>
          <w:tcPr>
            <w:tcW w:type="dxa" w:w="48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定义</w:t>
            </w:r>
          </w:p>
        </w:tc>
        <w:tc>
          <w:tcPr>
            <w:tcW w:type="dxa" w:w="15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用途</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复用</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理论Token命中率</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可找到相同Token前缀的Token数 / 全部Prefill Token数</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描述性上界</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复用</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有效Token命中率</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满足查询＋传输＋恢复 &lt; 重算的复用Token数 / 全部Prefill Token数</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主指标</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延迟</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TTFT P50/P95/P99</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端到端请求到首Token延迟，区分完全命中/部分命中/未命中</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主指标</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会话</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Session Completion Time</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从任务开始到Agent任务终止的墙钟时间</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主指标</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资源</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KV数据移动量</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GPU↔DRAM、DRAM↔NVMe的读写字节及时间</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机制解释</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资源</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GPU秒与能耗</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每请求/每会话GPU活动时间与功耗积分</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成本输入</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正确性</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输出与任务成功</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Logits/Token一致性、测试通过率与任务成功率</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硬门槛</w:t>
            </w:r>
          </w:p>
        </w:tc>
      </w:tr>
      <w:tr>
        <w:trPr>
          <w:cantSplit/>
        </w:trPr>
        <w:tc>
          <w:tcPr>
            <w:tcW w:type="dxa" w:w="1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终局</w:t>
            </w:r>
          </w:p>
        </w:tc>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每成功任务成本</w:t>
            </w:r>
          </w:p>
        </w:tc>
        <w:tc>
          <w:tcPr>
            <w:tcW w:type="dxa" w:w="4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端到端GPU、CPU、存储、能耗成本 / 成功任务数</w:t>
            </w:r>
          </w:p>
        </w:tc>
        <w:tc>
          <w:tcPr>
            <w:tcW w:type="dxa" w:w="1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终局指标</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8.3 三个必须冻结的公式</w:t>
      </w:r>
    </w:p>
    <w:p>
      <w:pPr>
        <w:keepLines/>
        <w:spacing w:before="100" w:after="160"/>
        <w:jc w:val="center"/>
      </w:pPr>
      <w:r>
        <w:rPr>
          <w:rFonts w:ascii="Calibri" w:hAnsi="Calibri" w:eastAsia="Noto Sans CJK SC"/>
          <w:i/>
          <w:color w:val="1F2937"/>
          <w:sz w:val="22"/>
        </w:rPr>
        <w:t>H</w:t>
      </w:r>
      <w:r>
        <w:rPr>
          <w:rFonts w:ascii="Calibri" w:hAnsi="Calibri" w:eastAsia="Noto Sans CJK SC"/>
          <w:i w:val="0"/>
          <w:color w:val="1F2937"/>
          <w:sz w:val="22"/>
          <w:vertAlign w:val="subscript"/>
        </w:rPr>
        <w:t>token</w:t>
      </w:r>
      <w:r>
        <w:rPr>
          <w:rFonts w:ascii="Calibri" w:hAnsi="Calibri" w:eastAsia="Noto Sans CJK SC"/>
          <w:i w:val="0"/>
          <w:color w:val="1F2937"/>
          <w:sz w:val="22"/>
        </w:rPr>
        <w:t xml:space="preserve"> = Σ reused prefill tokens / Σ all prefill tokens</w:t>
      </w:r>
    </w:p>
    <w:p>
      <w:pPr>
        <w:keepLines/>
        <w:spacing w:before="100" w:after="160"/>
        <w:jc w:val="center"/>
      </w:pPr>
      <w:r>
        <w:rPr>
          <w:rFonts w:ascii="Calibri" w:hAnsi="Calibri" w:eastAsia="Noto Sans CJK SC"/>
          <w:i/>
          <w:color w:val="1F2937"/>
          <w:sz w:val="22"/>
        </w:rPr>
        <w:t>H</w:t>
      </w:r>
      <w:r>
        <w:rPr>
          <w:rFonts w:ascii="Calibri" w:hAnsi="Calibri" w:eastAsia="Noto Sans CJK SC"/>
          <w:i w:val="0"/>
          <w:color w:val="1F2937"/>
          <w:sz w:val="22"/>
          <w:vertAlign w:val="subscript"/>
        </w:rPr>
        <w:t>effective</w:t>
      </w:r>
      <w:r>
        <w:rPr>
          <w:rFonts w:ascii="Calibri" w:hAnsi="Calibri" w:eastAsia="Noto Sans CJK SC"/>
          <w:i w:val="0"/>
          <w:color w:val="1F2937"/>
          <w:sz w:val="22"/>
        </w:rPr>
        <w:t xml:space="preserve"> = Σ reused tokens satisfying T</w:t>
      </w:r>
      <w:r>
        <w:rPr>
          <w:rFonts w:ascii="Calibri" w:hAnsi="Calibri" w:eastAsia="Noto Sans CJK SC"/>
          <w:i w:val="0"/>
          <w:color w:val="1F2937"/>
          <w:sz w:val="22"/>
          <w:vertAlign w:val="subscript"/>
        </w:rPr>
        <w:t>restore-path</w:t>
      </w:r>
      <w:r>
        <w:rPr>
          <w:rFonts w:ascii="Calibri" w:hAnsi="Calibri" w:eastAsia="Noto Sans CJK SC"/>
          <w:i w:val="0"/>
          <w:color w:val="1F2937"/>
          <w:sz w:val="22"/>
        </w:rPr>
        <w:t xml:space="preserve"> &lt; T</w:t>
      </w:r>
      <w:r>
        <w:rPr>
          <w:rFonts w:ascii="Calibri" w:hAnsi="Calibri" w:eastAsia="Noto Sans CJK SC"/>
          <w:i w:val="0"/>
          <w:color w:val="1F2937"/>
          <w:sz w:val="22"/>
          <w:vertAlign w:val="subscript"/>
        </w:rPr>
        <w:t>recompute</w:t>
      </w:r>
      <w:r>
        <w:rPr>
          <w:rFonts w:ascii="Calibri" w:hAnsi="Calibri" w:eastAsia="Noto Sans CJK SC"/>
          <w:i w:val="0"/>
          <w:color w:val="1F2937"/>
          <w:sz w:val="22"/>
        </w:rPr>
        <w:t xml:space="preserve"> / Σ all prefill tokens</w:t>
      </w:r>
    </w:p>
    <w:p>
      <w:pPr>
        <w:keepLines/>
        <w:spacing w:before="100" w:after="160"/>
        <w:jc w:val="center"/>
      </w:pPr>
      <w:r>
        <w:rPr>
          <w:rFonts w:ascii="Calibri" w:hAnsi="Calibri" w:eastAsia="Noto Sans CJK SC"/>
          <w:i/>
          <w:color w:val="1F2937"/>
          <w:sz w:val="22"/>
        </w:rPr>
        <w:t>C</w:t>
      </w:r>
      <w:r>
        <w:rPr>
          <w:rFonts w:ascii="Calibri" w:hAnsi="Calibri" w:eastAsia="Noto Sans CJK SC"/>
          <w:i w:val="0"/>
          <w:color w:val="1F2937"/>
          <w:sz w:val="22"/>
          <w:vertAlign w:val="subscript"/>
        </w:rPr>
        <w:t>success</w:t>
      </w:r>
      <w:r>
        <w:rPr>
          <w:rFonts w:ascii="Calibri" w:hAnsi="Calibri" w:eastAsia="Noto Sans CJK SC"/>
          <w:i w:val="0"/>
          <w:color w:val="1F2937"/>
          <w:sz w:val="22"/>
        </w:rPr>
        <w:t xml:space="preserve"> = total end-to-end system cost / number of successful tasks</w:t>
      </w:r>
    </w:p>
    <w:p>
      <w:pPr>
        <w:keepNext w:val="0"/>
        <w:spacing w:before="0" w:after="120" w:line="264" w:lineRule="auto"/>
        <w:jc w:val="left"/>
      </w:pPr>
      <w:r>
        <w:rPr>
          <w:rFonts w:ascii="Calibri" w:hAnsi="Calibri" w:eastAsia="Noto Sans CJK SC"/>
          <w:b w:val="0"/>
          <w:i w:val="0"/>
          <w:color w:val="1F2937"/>
          <w:sz w:val="20"/>
        </w:rPr>
        <w:t>原70%、95%、TTFT下降90%和成本10%以下可继续作为立项候选目标，但必须同时绑定Trace版本、缓存预算、冷/热规则、并发、模型、成功率和统计窗口；在测得单机基线前不能写成已证明事实。</w:t>
      </w:r>
    </w:p>
    <w:p>
      <w:pPr>
        <w:pStyle w:val="Heading1"/>
        <w:keepNext/>
        <w:keepLines/>
      </w:pPr>
      <w:r>
        <w:rPr>
          <w:rFonts w:ascii="Calibri" w:hAnsi="Calibri" w:eastAsia="Noto Sans CJK SC"/>
          <w:b/>
          <w:color w:val="2E74B5"/>
          <w:sz w:val="32"/>
        </w:rPr>
        <w:t>9. 首期范围与明确排除项</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4680"/>
        <w:gridCol w:w="4680"/>
      </w:tblGrid>
      <w:tr>
        <w:trPr>
          <w:tblHeader w:val="true"/>
          <w:cantSplit/>
        </w:trPr>
        <w:tc>
          <w:tcPr>
            <w:tcW w:type="dxa" w:w="46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纳入首期</w:t>
            </w:r>
          </w:p>
        </w:tc>
        <w:tc>
          <w:tcPr>
            <w:tcW w:type="dxa" w:w="46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暂不纳入首期</w:t>
            </w:r>
          </w:p>
        </w:tc>
      </w:tr>
      <w:tr>
        <w:trPr>
          <w:cantSplit/>
        </w:trPr>
        <w:tc>
          <w:tcPr>
            <w:tcW w:type="dxa" w:w="46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 单节点Ubuntu，RTX 5090 32GB显存、64GB DRAM与本地NVMe</w:t>
              <w:br/>
              <w:t>• 单Agent或独立会话的暂停/恢复型Coding Agent轨迹</w:t>
              <w:br/>
              <w:t>• GQA模型、BF16/FP16、精确Token前缀复用</w:t>
              <w:br/>
              <w:t>• GPU/DRAM/NVMe/重算四选一保留与恢复决策</w:t>
              <w:br/>
              <w:t>• Trace重放、微基准、正确性、端到端性能与成功任务成本</w:t>
            </w:r>
          </w:p>
        </w:tc>
        <w:tc>
          <w:tcPr>
            <w:tcW w:type="dxa" w:w="46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 首期不承诺MLA/DSA/Hybrid和FP4/FP8全兼容</w:t>
              <w:br/>
              <w:t>• 首期不承诺跨租户共享与模糊文本相似度直接复用</w:t>
              <w:br/>
              <w:t>• 首期不承诺多节点、CXL或远端对象存储</w:t>
              <w:br/>
              <w:t>• 首期不把非前缀/位置无关复用作为验收硬目标</w:t>
              <w:br/>
              <w:t>• 不把95%原始命中率写成已验证成果或唯一成功标准</w:t>
            </w:r>
          </w:p>
        </w:tc>
      </w:tr>
    </w:tbl>
    <w:p>
      <w:pPr>
        <w:spacing w:before="0" w:after="40" w:line="240" w:lineRule="auto"/>
      </w:pPr>
      <w:r>
        <w:rPr>
          <w:rFonts w:ascii="Calibri" w:hAnsi="Calibri" w:eastAsia="Noto Sans CJK SC"/>
          <w:sz w:val="2"/>
        </w:rPr>
      </w:r>
    </w:p>
    <w:p>
      <w:pPr>
        <w:spacing w:before="120" w:after="160" w:line="264" w:lineRule="auto"/>
        <w:ind w:left="115" w:right="58"/>
        <w:shd w:fill="FDECEC" w:val="clear"/>
        <w:pBdr>
          <w:left w:val="single" w:sz="18" w:space="8" w:color="9B1C1C"/>
        </w:pBdr>
      </w:pPr>
      <w:r>
        <w:rPr>
          <w:rFonts w:ascii="Calibri" w:hAnsi="Calibri" w:eastAsia="Noto Sans CJK SC"/>
          <w:b/>
          <w:color w:val="1F4D78"/>
          <w:sz w:val="20"/>
        </w:rPr>
        <w:t xml:space="preserve">安全边界  </w:t>
      </w:r>
      <w:r>
        <w:rPr>
          <w:rFonts w:ascii="Calibri" w:hAnsi="Calibri" w:eastAsia="Noto Sans CJK SC"/>
          <w:color w:val="1F2937"/>
          <w:sz w:val="20"/>
        </w:rPr>
        <w:t>租户、项目、模型、Tokenizer、位置编码、KV布局、数值格式和引擎版本必须进入兼容域。跨租户私有内容共享和任意文本相似度复用默认禁止。</w:t>
      </w:r>
    </w:p>
    <w:p>
      <w:pPr>
        <w:pStyle w:val="Heading1"/>
        <w:keepNext/>
        <w:keepLines/>
      </w:pPr>
      <w:r>
        <w:rPr>
          <w:rFonts w:ascii="Calibri" w:hAnsi="Calibri" w:eastAsia="Noto Sans CJK SC"/>
          <w:b/>
          <w:color w:val="2E74B5"/>
          <w:sz w:val="32"/>
        </w:rPr>
        <w:t>10. 在现有硬件上的可行性与限制</w:t>
      </w:r>
    </w:p>
    <w:p>
      <w:pPr>
        <w:pStyle w:val="Heading2"/>
        <w:keepNext/>
        <w:keepLines/>
      </w:pPr>
      <w:r>
        <w:rPr>
          <w:rFonts w:ascii="Calibri" w:hAnsi="Calibri" w:eastAsia="Noto Sans CJK SC"/>
          <w:b/>
          <w:color w:val="2E74B5"/>
          <w:sz w:val="26"/>
        </w:rPr>
        <w:t>10.1 为什么RTX 5090＋64GB适合该问题</w:t>
      </w:r>
    </w:p>
    <w:p>
      <w:pPr>
        <w:keepNext w:val="0"/>
        <w:spacing w:before="0" w:after="120" w:line="264" w:lineRule="auto"/>
        <w:jc w:val="left"/>
      </w:pPr>
      <w:r>
        <w:rPr>
          <w:rFonts w:ascii="Calibri" w:hAnsi="Calibri" w:eastAsia="Noto Sans CJK SC"/>
          <w:b w:val="0"/>
          <w:i w:val="0"/>
          <w:color w:val="1F2937"/>
          <w:sz w:val="22"/>
        </w:rPr>
        <w:t>NVIDIA官方规格显示GeForce RTX 5090具有32GB GDDR7显存[25]。这足以运行中等规模开源模型并测量长上下文Prefill，却不足以无限保留多个长会话的KV，因此能够自然产生GPU保留、DRAM迁移、NVMe迁移和重算之间的压力。64GB系统内存提供有限但可用的第二层缓存。</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250"/>
        <w:gridCol w:w="2200"/>
        <w:gridCol w:w="3460"/>
        <w:gridCol w:w="2450"/>
      </w:tblGrid>
      <w:tr>
        <w:trPr>
          <w:tblHeader w:val="true"/>
          <w:cantSplit/>
        </w:trPr>
        <w:tc>
          <w:tcPr>
            <w:tcW w:type="dxa" w:w="12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资源</w:t>
            </w:r>
          </w:p>
        </w:tc>
        <w:tc>
          <w:tcPr>
            <w:tcW w:type="dxa" w:w="2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已知条件</w:t>
            </w:r>
          </w:p>
        </w:tc>
        <w:tc>
          <w:tcPr>
            <w:tcW w:type="dxa" w:w="34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研究意义</w:t>
            </w:r>
          </w:p>
        </w:tc>
        <w:tc>
          <w:tcPr>
            <w:tcW w:type="dxa" w:w="24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待确认</w:t>
            </w:r>
          </w:p>
        </w:tc>
      </w:tr>
      <w:tr>
        <w:trPr>
          <w:cantSplit/>
        </w:trPr>
        <w:tc>
          <w:tcPr>
            <w:tcW w:type="dxa" w:w="12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GPU</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RTX 5090，32GB GDDR7</w:t>
            </w:r>
          </w:p>
        </w:tc>
        <w:tc>
          <w:tcPr>
            <w:tcW w:type="dxa" w:w="34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形成真实显存压力；测量Prefill和恢复</w:t>
            </w:r>
          </w:p>
        </w:tc>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驱动/CUDA、功耗策略</w:t>
            </w:r>
          </w:p>
        </w:tc>
      </w:tr>
      <w:tr>
        <w:trPr>
          <w:cantSplit/>
        </w:trPr>
        <w:tc>
          <w:tcPr>
            <w:tcW w:type="dxa" w:w="12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DRAM</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64GB</w:t>
            </w:r>
          </w:p>
        </w:tc>
        <w:tc>
          <w:tcPr>
            <w:tcW w:type="dxa" w:w="34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主机KV热层；容量仍有限</w:t>
            </w:r>
          </w:p>
        </w:tc>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可分配预算、锁页内存策略</w:t>
            </w:r>
          </w:p>
        </w:tc>
      </w:tr>
      <w:tr>
        <w:trPr>
          <w:cantSplit/>
        </w:trPr>
        <w:tc>
          <w:tcPr>
            <w:tcW w:type="dxa" w:w="12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NVMe</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本地，型号未知</w:t>
            </w:r>
          </w:p>
        </w:tc>
        <w:tc>
          <w:tcPr>
            <w:tcW w:type="dxa" w:w="34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温层与持久层；决定迁移交叉点</w:t>
            </w:r>
          </w:p>
        </w:tc>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型号、容量、PCIe代际、实测带宽/IOPS</w:t>
            </w:r>
          </w:p>
        </w:tc>
      </w:tr>
      <w:tr>
        <w:trPr>
          <w:cantSplit/>
        </w:trPr>
        <w:tc>
          <w:tcPr>
            <w:tcW w:type="dxa" w:w="12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OS</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Ubuntu</w:t>
            </w:r>
          </w:p>
        </w:tc>
        <w:tc>
          <w:tcPr>
            <w:tcW w:type="dxa" w:w="34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支持vLLM、CUDA和系统剖析工具</w:t>
            </w:r>
          </w:p>
        </w:tc>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发行版与内核版本</w:t>
            </w:r>
          </w:p>
        </w:tc>
      </w:tr>
      <w:tr>
        <w:trPr>
          <w:cantSplit/>
        </w:trPr>
        <w:tc>
          <w:tcPr>
            <w:tcW w:type="dxa" w:w="12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模型/引擎</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暂未冻结</w:t>
            </w:r>
          </w:p>
        </w:tc>
        <w:tc>
          <w:tcPr>
            <w:tcW w:type="dxa" w:w="34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决定KV字节、支持格式和基线</w:t>
            </w:r>
          </w:p>
        </w:tc>
        <w:tc>
          <w:tcPr>
            <w:tcW w:type="dxa" w:w="24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建议首个GQA模型＋vLLM</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10.2 首期不承诺的外推</w:t>
      </w:r>
    </w:p>
    <w:p>
      <w:pPr>
        <w:keepLines/>
        <w:spacing w:before="0" w:after="160" w:line="280" w:lineRule="auto"/>
        <w:numPr>
          <w:ilvl w:val="0"/>
          <w:numId w:val="10"/>
        </w:numPr>
      </w:pPr>
      <w:r>
        <w:rPr>
          <w:rFonts w:ascii="Calibri" w:hAnsi="Calibri" w:eastAsia="Noto Sans CJK SC"/>
          <w:color w:val="1F2937"/>
          <w:sz w:val="21"/>
        </w:rPr>
        <w:t>不能从单机5090直接外推H100集群、PD解耦、CXL或远端存储的绝对收益。</w:t>
      </w:r>
    </w:p>
    <w:p>
      <w:pPr>
        <w:keepLines/>
        <w:spacing w:before="0" w:after="160" w:line="280" w:lineRule="auto"/>
        <w:numPr>
          <w:ilvl w:val="0"/>
          <w:numId w:val="10"/>
        </w:numPr>
      </w:pPr>
      <w:r>
        <w:rPr>
          <w:rFonts w:ascii="Calibri" w:hAnsi="Calibri" w:eastAsia="Noto Sans CJK SC"/>
          <w:color w:val="1F2937"/>
          <w:sz w:val="21"/>
        </w:rPr>
        <w:t>不能从单Agent追加轨迹直接外推多Agent工作流；Pythia已显示其前缀结构可能不同。</w:t>
      </w:r>
    </w:p>
    <w:p>
      <w:pPr>
        <w:keepLines/>
        <w:spacing w:before="0" w:after="160" w:line="280" w:lineRule="auto"/>
        <w:numPr>
          <w:ilvl w:val="0"/>
          <w:numId w:val="10"/>
        </w:numPr>
      </w:pPr>
      <w:r>
        <w:rPr>
          <w:rFonts w:ascii="Calibri" w:hAnsi="Calibri" w:eastAsia="Noto Sans CJK SC"/>
          <w:color w:val="1F2937"/>
          <w:sz w:val="21"/>
        </w:rPr>
        <w:t>不能从GQA/BF16直接外推MLA、DSA、Hybrid、FP8或FP4；KV布局和质量门槛必须重新验证。</w:t>
      </w:r>
    </w:p>
    <w:p>
      <w:pPr>
        <w:keepLines/>
        <w:spacing w:before="0" w:after="160" w:line="280" w:lineRule="auto"/>
        <w:numPr>
          <w:ilvl w:val="0"/>
          <w:numId w:val="10"/>
        </w:numPr>
      </w:pPr>
      <w:r>
        <w:rPr>
          <w:rFonts w:ascii="Calibri" w:hAnsi="Calibri" w:eastAsia="Noto Sans CJK SC"/>
          <w:color w:val="1F2937"/>
          <w:sz w:val="21"/>
        </w:rPr>
        <w:t>不能用Provider Prompt Cache的计费行为替代自托管KV张量的带宽和容量实验。</w:t>
      </w:r>
    </w:p>
    <w:p>
      <w:r>
        <w:br w:type="page"/>
      </w:r>
    </w:p>
    <w:p>
      <w:pPr>
        <w:pStyle w:val="Heading1"/>
        <w:keepNext/>
        <w:keepLines/>
      </w:pPr>
      <w:r>
        <w:rPr>
          <w:rFonts w:ascii="Calibri" w:hAnsi="Calibri" w:eastAsia="Noto Sans CJK SC"/>
          <w:b/>
          <w:color w:val="2E74B5"/>
          <w:sz w:val="32"/>
        </w:rPr>
        <w:t>11. 实验框架草案（供0-5继续细化）</w:t>
      </w:r>
    </w:p>
    <w:p>
      <w:pPr>
        <w:pStyle w:val="Heading2"/>
        <w:keepNext/>
        <w:keepLines/>
      </w:pPr>
      <w:r>
        <w:rPr>
          <w:rFonts w:ascii="Calibri" w:hAnsi="Calibri" w:eastAsia="Noto Sans CJK SC"/>
          <w:b/>
          <w:color w:val="2E74B5"/>
          <w:sz w:val="26"/>
        </w:rPr>
        <w:t>11.1 数据源组合</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2700"/>
        <w:gridCol w:w="3330"/>
        <w:gridCol w:w="3330"/>
      </w:tblGrid>
      <w:tr>
        <w:trPr>
          <w:tblHeader w:val="true"/>
          <w:cantSplit/>
        </w:trPr>
        <w:tc>
          <w:tcPr>
            <w:tcW w:type="dxa" w:w="27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数据源</w:t>
            </w:r>
          </w:p>
        </w:tc>
        <w:tc>
          <w:tcPr>
            <w:tcW w:type="dxa" w:w="333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用途</w:t>
            </w:r>
          </w:p>
        </w:tc>
        <w:tc>
          <w:tcPr>
            <w:tcW w:type="dxa" w:w="333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0-5动作</w:t>
            </w:r>
          </w:p>
        </w:tc>
      </w:tr>
      <w:tr>
        <w:trPr>
          <w:cantSplit/>
        </w:trPr>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CacheWise公开Coding Agent轨迹</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直接竞争基线和工具元数据信号</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核验许可、字段、Token可回放性</w:t>
            </w:r>
          </w:p>
        </w:tc>
      </w:tr>
      <w:tr>
        <w:trPr>
          <w:cantSplit/>
        </w:trPr>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TraceLab公开轨迹/分析代码</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真实停顿、工具长尾和高理论命中</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下载并建立字段映射</w:t>
            </w:r>
          </w:p>
        </w:tc>
      </w:tr>
      <w:tr>
        <w:trPr>
          <w:cantSplit/>
        </w:trPr>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XPerf（若代码已公开）</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可重复的Agent serving重放</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评估复用而非重复造轮子</w:t>
            </w:r>
          </w:p>
        </w:tc>
      </w:tr>
      <w:tr>
        <w:trPr>
          <w:cantSplit/>
        </w:trPr>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SWE-bench/OpenHands近真实轨迹</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任务成功率与会话完成时间</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固定模型/Harness，保存工具调用</w:t>
            </w:r>
          </w:p>
        </w:tc>
      </w:tr>
      <w:tr>
        <w:trPr>
          <w:cantSplit/>
        </w:trPr>
        <w:tc>
          <w:tcPr>
            <w:tcW w:type="dxa" w:w="2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可控合成轨迹</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扫描长度、间隔、变化率、并发和容量</w:t>
            </w:r>
          </w:p>
        </w:tc>
        <w:tc>
          <w:tcPr>
            <w:tcW w:type="dxa" w:w="33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形成正交实验矩阵</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11.2 最小实验矩阵</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900"/>
        <w:gridCol w:w="4260"/>
        <w:gridCol w:w="3200"/>
      </w:tblGrid>
      <w:tr>
        <w:trPr>
          <w:tblHeader w:val="true"/>
          <w:cantSplit/>
        </w:trPr>
        <w:tc>
          <w:tcPr>
            <w:tcW w:type="dxa" w:w="19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因素</w:t>
            </w:r>
          </w:p>
        </w:tc>
        <w:tc>
          <w:tcPr>
            <w:tcW w:type="dxa" w:w="42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建议水平</w:t>
            </w:r>
          </w:p>
        </w:tc>
        <w:tc>
          <w:tcPr>
            <w:tcW w:type="dxa" w:w="3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目的</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上下文长度</w:t>
            </w:r>
          </w:p>
        </w:tc>
        <w:tc>
          <w:tcPr>
            <w:tcW w:type="dxa" w:w="4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8K / 32K / 64K / 128K或按模型能力调整</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建立重算成本和KV字节曲线</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暂停间隔</w:t>
            </w:r>
          </w:p>
        </w:tc>
        <w:tc>
          <w:tcPr>
            <w:tcW w:type="dxa" w:w="4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秒级 / 分钟级 / 人类确认级</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测量返回概率和TTL失效</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并发会话</w:t>
            </w:r>
          </w:p>
        </w:tc>
        <w:tc>
          <w:tcPr>
            <w:tcW w:type="dxa" w:w="4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1 / 2 / 4 / 8 / 显存抖动点</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定位中阶段抖动</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缓存预算</w:t>
            </w:r>
          </w:p>
        </w:tc>
        <w:tc>
          <w:tcPr>
            <w:tcW w:type="dxa" w:w="4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GPU可用KV预算的25% / 50% / 75% / 100%</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比较等容量策略</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层级</w:t>
            </w:r>
          </w:p>
        </w:tc>
        <w:tc>
          <w:tcPr>
            <w:tcW w:type="dxa" w:w="4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GPU / DRAM / NVMe / 重算</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拟合交叉面</w:t>
            </w:r>
          </w:p>
        </w:tc>
      </w:tr>
      <w:tr>
        <w:trPr>
          <w:cantSplit/>
        </w:trPr>
        <w:tc>
          <w:tcPr>
            <w:tcW w:type="dxa" w:w="1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代码变化</w:t>
            </w:r>
          </w:p>
        </w:tc>
        <w:tc>
          <w:tcPr>
            <w:tcW w:type="dxa" w:w="4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0 / 局部 / 中等 / 大规模</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首期测前缀失效；拓展测来源约束</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11.3 结果报告</w:t>
      </w:r>
    </w:p>
    <w:p>
      <w:pPr>
        <w:keepLines/>
        <w:spacing w:before="0" w:after="160" w:line="280" w:lineRule="auto"/>
        <w:numPr>
          <w:ilvl w:val="0"/>
          <w:numId w:val="10"/>
        </w:numPr>
      </w:pPr>
      <w:r>
        <w:rPr>
          <w:rFonts w:ascii="Calibri" w:hAnsi="Calibri" w:eastAsia="Noto Sans CJK SC"/>
          <w:color w:val="1F2937"/>
          <w:sz w:val="21"/>
        </w:rPr>
        <w:t>每个负载点报告原始Token命中、实际驻留命中、有效命中和负收益命中。</w:t>
      </w:r>
    </w:p>
    <w:p>
      <w:pPr>
        <w:keepLines/>
        <w:spacing w:before="0" w:after="160" w:line="280" w:lineRule="auto"/>
        <w:numPr>
          <w:ilvl w:val="0"/>
          <w:numId w:val="10"/>
        </w:numPr>
      </w:pPr>
      <w:r>
        <w:rPr>
          <w:rFonts w:ascii="Calibri" w:hAnsi="Calibri" w:eastAsia="Noto Sans CJK SC"/>
          <w:color w:val="1F2937"/>
          <w:sz w:val="21"/>
        </w:rPr>
        <w:t>TTFT同时报告P50/P95/P99和完全命中、部分命中、未命中三类切片。</w:t>
      </w:r>
    </w:p>
    <w:p>
      <w:pPr>
        <w:keepLines/>
        <w:spacing w:before="0" w:after="160" w:line="280" w:lineRule="auto"/>
        <w:numPr>
          <w:ilvl w:val="0"/>
          <w:numId w:val="10"/>
        </w:numPr>
      </w:pPr>
      <w:r>
        <w:rPr>
          <w:rFonts w:ascii="Calibri" w:hAnsi="Calibri" w:eastAsia="Noto Sans CJK SC"/>
          <w:color w:val="1F2937"/>
          <w:sz w:val="21"/>
        </w:rPr>
        <w:t>记录GPU↔DRAM、DRAM↔NVMe的字节、时间和并发带宽，解释任何反常收益。</w:t>
      </w:r>
    </w:p>
    <w:p>
      <w:pPr>
        <w:keepLines/>
        <w:spacing w:before="0" w:after="160" w:line="280" w:lineRule="auto"/>
        <w:numPr>
          <w:ilvl w:val="0"/>
          <w:numId w:val="10"/>
        </w:numPr>
      </w:pPr>
      <w:r>
        <w:rPr>
          <w:rFonts w:ascii="Calibri" w:hAnsi="Calibri" w:eastAsia="Noto Sans CJK SC"/>
          <w:color w:val="1F2937"/>
          <w:sz w:val="21"/>
        </w:rPr>
        <w:t>任务实验报告测试通过率、输出一致性和每成功任务GPU秒/能耗/成本。</w:t>
      </w:r>
    </w:p>
    <w:p>
      <w:pPr>
        <w:keepLines/>
        <w:spacing w:before="0" w:after="160" w:line="280" w:lineRule="auto"/>
        <w:numPr>
          <w:ilvl w:val="0"/>
          <w:numId w:val="10"/>
        </w:numPr>
      </w:pPr>
      <w:r>
        <w:rPr>
          <w:rFonts w:ascii="Calibri" w:hAnsi="Calibri" w:eastAsia="Noto Sans CJK SC"/>
          <w:color w:val="1F2937"/>
          <w:sz w:val="21"/>
        </w:rPr>
        <w:t>所有结论与强基线等容量、等Trace、等模型、等Prompt/Harness比较。</w:t>
      </w:r>
    </w:p>
    <w:p>
      <w:pPr>
        <w:pStyle w:val="Heading1"/>
        <w:keepNext/>
        <w:keepLines/>
      </w:pPr>
      <w:r>
        <w:rPr>
          <w:rFonts w:ascii="Calibri" w:hAnsi="Calibri" w:eastAsia="Noto Sans CJK SC"/>
          <w:b/>
          <w:color w:val="2E74B5"/>
          <w:sz w:val="32"/>
        </w:rPr>
        <w:t>12. 风险、停止条件与0-4退出门</w:t>
      </w:r>
    </w:p>
    <w:p>
      <w:pPr>
        <w:pStyle w:val="Heading2"/>
        <w:keepNext/>
        <w:keepLines/>
      </w:pPr>
      <w:r>
        <w:rPr>
          <w:rFonts w:ascii="Calibri" w:hAnsi="Calibri" w:eastAsia="Noto Sans CJK SC"/>
          <w:b/>
          <w:color w:val="2E74B5"/>
          <w:sz w:val="26"/>
        </w:rPr>
        <w:t>12.1 主要风险</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950"/>
        <w:gridCol w:w="3220"/>
        <w:gridCol w:w="4190"/>
      </w:tblGrid>
      <w:tr>
        <w:trPr>
          <w:tblHeader w:val="true"/>
          <w:cantSplit/>
        </w:trPr>
        <w:tc>
          <w:tcPr>
            <w:tcW w:type="dxa" w:w="19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风险</w:t>
            </w:r>
          </w:p>
        </w:tc>
        <w:tc>
          <w:tcPr>
            <w:tcW w:type="dxa" w:w="32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触发信号</w:t>
            </w:r>
          </w:p>
        </w:tc>
        <w:tc>
          <w:tcPr>
            <w:tcW w:type="dxa" w:w="419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处理</w:t>
            </w:r>
          </w:p>
        </w:tc>
      </w:tr>
      <w:tr>
        <w:trPr>
          <w:cantSplit/>
        </w:trPr>
        <w:tc>
          <w:tcPr>
            <w:tcW w:type="dxa" w:w="19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研究重叠</w:t>
            </w:r>
          </w:p>
        </w:tc>
        <w:tc>
          <w:tcPr>
            <w:tcW w:type="dxa" w:w="32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CacheWise/Continuum式基线已覆盖候选方案</w:t>
            </w:r>
          </w:p>
        </w:tc>
        <w:tc>
          <w:tcPr>
            <w:tcW w:type="dxa" w:w="41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进一步收窄到层级交叉面、单机约束和成功任务成本；不夸大新颖性</w:t>
            </w:r>
          </w:p>
        </w:tc>
      </w:tr>
      <w:tr>
        <w:trPr>
          <w:cantSplit/>
        </w:trPr>
        <w:tc>
          <w:tcPr>
            <w:tcW w:type="dxa" w:w="19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5090不支持目标软件路径</w:t>
            </w:r>
          </w:p>
        </w:tc>
        <w:tc>
          <w:tcPr>
            <w:tcW w:type="dxa" w:w="32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引擎/内核在Blackwell消费卡上不可用</w:t>
            </w:r>
          </w:p>
        </w:tc>
        <w:tc>
          <w:tcPr>
            <w:tcW w:type="dxa" w:w="41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先冻结支持矩阵；选择稳定GQA/BF16路径</w:t>
            </w:r>
          </w:p>
        </w:tc>
      </w:tr>
      <w:tr>
        <w:trPr>
          <w:cantSplit/>
        </w:trPr>
        <w:tc>
          <w:tcPr>
            <w:tcW w:type="dxa" w:w="19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NVMe迁移始终不划算</w:t>
            </w:r>
          </w:p>
        </w:tc>
        <w:tc>
          <w:tcPr>
            <w:tcW w:type="dxa" w:w="32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所有工作点恢复均慢于重算</w:t>
            </w:r>
          </w:p>
        </w:tc>
        <w:tc>
          <w:tcPr>
            <w:tcW w:type="dxa" w:w="41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把负结果写成边界结论；主线可退化为GPU/DRAM/重算三选一</w:t>
            </w:r>
          </w:p>
        </w:tc>
      </w:tr>
      <w:tr>
        <w:trPr>
          <w:cantSplit/>
        </w:trPr>
        <w:tc>
          <w:tcPr>
            <w:tcW w:type="dxa" w:w="19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预测收益不稳定</w:t>
            </w:r>
          </w:p>
        </w:tc>
        <w:tc>
          <w:tcPr>
            <w:tcW w:type="dxa" w:w="32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价值密度策略不优于固定TTL/LRU</w:t>
            </w:r>
          </w:p>
        </w:tc>
        <w:tc>
          <w:tcPr>
            <w:tcW w:type="dxa" w:w="41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否定H3；保留测量贡献和交叉面结果</w:t>
            </w:r>
          </w:p>
        </w:tc>
      </w:tr>
      <w:tr>
        <w:trPr>
          <w:cantSplit/>
        </w:trPr>
        <w:tc>
          <w:tcPr>
            <w:tcW w:type="dxa" w:w="19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质量或安全回归</w:t>
            </w:r>
          </w:p>
        </w:tc>
        <w:tc>
          <w:tcPr>
            <w:tcW w:type="dxa" w:w="32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输出差异、任务成功率下降或跨域命中</w:t>
            </w:r>
          </w:p>
        </w:tc>
        <w:tc>
          <w:tcPr>
            <w:tcW w:type="dxa" w:w="41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停止对应近似/共享路线；回到精确前缀隔离</w:t>
            </w:r>
          </w:p>
        </w:tc>
      </w:tr>
      <w:tr>
        <w:trPr>
          <w:cantSplit/>
        </w:trPr>
        <w:tc>
          <w:tcPr>
            <w:tcW w:type="dxa" w:w="19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Trace不可回放</w:t>
            </w:r>
          </w:p>
        </w:tc>
        <w:tc>
          <w:tcPr>
            <w:tcW w:type="dxa" w:w="32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缺Token、输出或工具时序</w:t>
            </w:r>
          </w:p>
        </w:tc>
        <w:tc>
          <w:tcPr>
            <w:tcW w:type="dxa" w:w="419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用可控Trace补因果分析，并在报告中限制外推</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12.2 0-4退出条件</w:t>
      </w:r>
    </w:p>
    <w:p>
      <w:pPr>
        <w:keepNext w:val="0"/>
        <w:spacing w:before="0" w:after="100" w:line="264" w:lineRule="auto"/>
        <w:jc w:val="left"/>
      </w:pPr>
      <w:r>
        <w:rPr>
          <w:rFonts w:ascii="Calibri" w:hAnsi="Calibri" w:eastAsia="Noto Sans CJK SC"/>
          <w:b w:val="0"/>
          <w:i w:val="0"/>
          <w:color w:val="1F2937"/>
          <w:sz w:val="20"/>
        </w:rPr>
        <w:t>1.  用户认可主线收窄与研究边界</w:t>
      </w:r>
    </w:p>
    <w:p>
      <w:pPr>
        <w:keepNext w:val="0"/>
        <w:spacing w:before="0" w:after="100" w:line="264" w:lineRule="auto"/>
        <w:jc w:val="left"/>
      </w:pPr>
      <w:r>
        <w:rPr>
          <w:rFonts w:ascii="Calibri" w:hAnsi="Calibri" w:eastAsia="Noto Sans CJK SC"/>
          <w:b w:val="0"/>
          <w:i w:val="0"/>
          <w:color w:val="1F2937"/>
          <w:sz w:val="20"/>
        </w:rPr>
        <w:t>2.  用户认可RQ1–RQ4为核心，RQ5仅作拓展</w:t>
      </w:r>
    </w:p>
    <w:p>
      <w:pPr>
        <w:keepNext w:val="0"/>
        <w:spacing w:before="0" w:after="100" w:line="264" w:lineRule="auto"/>
        <w:jc w:val="left"/>
      </w:pPr>
      <w:r>
        <w:rPr>
          <w:rFonts w:ascii="Calibri" w:hAnsi="Calibri" w:eastAsia="Noto Sans CJK SC"/>
          <w:b w:val="0"/>
          <w:i w:val="0"/>
          <w:color w:val="1F2937"/>
          <w:sz w:val="20"/>
        </w:rPr>
        <w:t>3.  用户认可强基线和终局指标</w:t>
      </w:r>
    </w:p>
    <w:p>
      <w:pPr>
        <w:keepNext w:val="0"/>
        <w:spacing w:before="0" w:after="100" w:line="264" w:lineRule="auto"/>
        <w:jc w:val="left"/>
      </w:pPr>
      <w:r>
        <w:rPr>
          <w:rFonts w:ascii="Calibri" w:hAnsi="Calibri" w:eastAsia="Noto Sans CJK SC"/>
          <w:b w:val="0"/>
          <w:i w:val="0"/>
          <w:color w:val="1F2937"/>
          <w:sz w:val="20"/>
        </w:rPr>
        <w:t>4.  确认本机NVMe型号/容量/顺序读写能力</w:t>
      </w:r>
    </w:p>
    <w:p>
      <w:pPr>
        <w:keepNext w:val="0"/>
        <w:spacing w:before="0" w:after="100" w:line="264" w:lineRule="auto"/>
        <w:jc w:val="left"/>
      </w:pPr>
      <w:r>
        <w:rPr>
          <w:rFonts w:ascii="Calibri" w:hAnsi="Calibri" w:eastAsia="Noto Sans CJK SC"/>
          <w:b w:val="0"/>
          <w:i w:val="0"/>
          <w:color w:val="1F2937"/>
          <w:sz w:val="20"/>
        </w:rPr>
        <w:t>5.  确认首个模型与推理框架（建议GQA＋vLLM）</w:t>
      </w:r>
    </w:p>
    <w:p>
      <w:pPr>
        <w:keepNext w:val="0"/>
        <w:spacing w:before="0" w:after="100" w:line="264" w:lineRule="auto"/>
        <w:jc w:val="left"/>
      </w:pPr>
      <w:r>
        <w:rPr>
          <w:rFonts w:ascii="Calibri" w:hAnsi="Calibri" w:eastAsia="Noto Sans CJK SC"/>
          <w:b w:val="0"/>
          <w:i w:val="0"/>
          <w:color w:val="1F2937"/>
          <w:sz w:val="20"/>
        </w:rPr>
        <w:t>6.  评审通过后再归档GitHub并进入0-5 Trace与实验方案设计</w:t>
      </w:r>
    </w:p>
    <w:p>
      <w:pPr>
        <w:spacing w:before="120" w:after="160" w:line="264" w:lineRule="auto"/>
        <w:ind w:left="115" w:right="58"/>
        <w:shd w:fill="FFF4CE" w:val="clear"/>
        <w:pBdr>
          <w:left w:val="single" w:sz="18" w:space="8" w:color="9C6500"/>
        </w:pBdr>
      </w:pPr>
      <w:r>
        <w:rPr>
          <w:rFonts w:ascii="Calibri" w:hAnsi="Calibri" w:eastAsia="Noto Sans CJK SC"/>
          <w:b/>
          <w:color w:val="1F4D78"/>
          <w:sz w:val="20"/>
        </w:rPr>
        <w:t xml:space="preserve">阶段状态  </w:t>
      </w:r>
      <w:r>
        <w:rPr>
          <w:rFonts w:ascii="Calibri" w:hAnsi="Calibri" w:eastAsia="Noto Sans CJK SC"/>
          <w:color w:val="1F2937"/>
          <w:sz w:val="20"/>
        </w:rPr>
        <w:t>当前为“候选完成，待用户评审”。只有前述核心决策获得认可，才在GitHub归档0-4成果并进入0-5；在此之前不开始缓存系统实现。</w:t>
      </w:r>
    </w:p>
    <w:p>
      <w:pPr>
        <w:pStyle w:val="Heading1"/>
        <w:keepNext/>
        <w:keepLines/>
      </w:pPr>
      <w:r>
        <w:rPr>
          <w:rFonts w:ascii="Calibri" w:hAnsi="Calibri" w:eastAsia="Noto Sans CJK SC"/>
          <w:b/>
          <w:color w:val="2E74B5"/>
          <w:sz w:val="32"/>
        </w:rPr>
        <w:t>13. 建议评审批注</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2100"/>
        <w:gridCol w:w="4720"/>
        <w:gridCol w:w="2540"/>
      </w:tblGrid>
      <w:tr>
        <w:trPr>
          <w:tblHeader w:val="true"/>
          <w:cantSplit/>
        </w:trPr>
        <w:tc>
          <w:tcPr>
            <w:tcW w:type="dxa" w:w="21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评审项</w:t>
            </w:r>
          </w:p>
        </w:tc>
        <w:tc>
          <w:tcPr>
            <w:tcW w:type="dxa" w:w="47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推荐选择</w:t>
            </w:r>
          </w:p>
        </w:tc>
        <w:tc>
          <w:tcPr>
            <w:tcW w:type="dxa" w:w="25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用户意见</w:t>
            </w:r>
          </w:p>
        </w:tc>
      </w:tr>
      <w:tr>
        <w:trPr>
          <w:cantSplit/>
        </w:trPr>
        <w:tc>
          <w:tcPr>
            <w:tcW w:type="dxa" w:w="21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主线</w:t>
            </w:r>
          </w:p>
        </w:tc>
        <w:tc>
          <w:tcPr>
            <w:tcW w:type="dxa" w:w="4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认可路线D：有效复用边界＋价值密度分层保留</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r>
          </w:p>
        </w:tc>
      </w:tr>
      <w:tr>
        <w:trPr>
          <w:cantSplit/>
        </w:trPr>
        <w:tc>
          <w:tcPr>
            <w:tcW w:type="dxa" w:w="21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首期范围</w:t>
            </w:r>
          </w:p>
        </w:tc>
        <w:tc>
          <w:tcPr>
            <w:tcW w:type="dxa" w:w="4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单Agent、GQA、BF16/FP16、精确前缀、单机三层</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r>
          </w:p>
        </w:tc>
      </w:tr>
      <w:tr>
        <w:trPr>
          <w:cantSplit/>
        </w:trPr>
        <w:tc>
          <w:tcPr>
            <w:tcW w:type="dxa" w:w="21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核心RQ</w:t>
            </w:r>
          </w:p>
        </w:tc>
        <w:tc>
          <w:tcPr>
            <w:tcW w:type="dxa" w:w="4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RQ1–RQ4；RQ5仅作拓展</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r>
          </w:p>
        </w:tc>
      </w:tr>
      <w:tr>
        <w:trPr>
          <w:cantSplit/>
        </w:trPr>
        <w:tc>
          <w:tcPr>
            <w:tcW w:type="dxa" w:w="21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强基线</w:t>
            </w:r>
          </w:p>
        </w:tc>
        <w:tc>
          <w:tcPr>
            <w:tcW w:type="dxa" w:w="4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B0–B5全部保留；B6只作API对照</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r>
          </w:p>
        </w:tc>
      </w:tr>
      <w:tr>
        <w:trPr>
          <w:cantSplit/>
        </w:trPr>
        <w:tc>
          <w:tcPr>
            <w:tcW w:type="dxa" w:w="21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终局指标</w:t>
            </w:r>
          </w:p>
        </w:tc>
        <w:tc>
          <w:tcPr>
            <w:tcW w:type="dxa" w:w="4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每成功任务成本＋任务正确性硬门槛</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r>
          </w:p>
        </w:tc>
      </w:tr>
      <w:tr>
        <w:trPr>
          <w:cantSplit/>
        </w:trPr>
        <w:tc>
          <w:tcPr>
            <w:tcW w:type="dxa" w:w="21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下一阶段</w:t>
            </w:r>
          </w:p>
        </w:tc>
        <w:tc>
          <w:tcPr>
            <w:tcW w:type="dxa" w:w="47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0-5 Trace来源与实验方案设计，不做系统实现</w:t>
            </w:r>
          </w:p>
        </w:tc>
        <w:tc>
          <w:tcPr>
            <w:tcW w:type="dxa" w:w="25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r>
          </w:p>
        </w:tc>
      </w:tr>
    </w:tbl>
    <w:p>
      <w:pPr>
        <w:spacing w:before="0" w:after="40" w:line="240" w:lineRule="auto"/>
      </w:pPr>
      <w:r>
        <w:rPr>
          <w:rFonts w:ascii="Calibri" w:hAnsi="Calibri" w:eastAsia="Noto Sans CJK SC"/>
          <w:sz w:val="2"/>
        </w:rPr>
      </w:r>
    </w:p>
    <w:p>
      <w:r>
        <w:br w:type="page"/>
      </w:r>
    </w:p>
    <w:p>
      <w:pPr>
        <w:pStyle w:val="Heading1"/>
        <w:keepNext/>
        <w:keepLines/>
      </w:pPr>
      <w:r>
        <w:rPr>
          <w:rFonts w:ascii="Calibri" w:hAnsi="Calibri" w:eastAsia="Noto Sans CJK SC"/>
          <w:b/>
          <w:color w:val="2E74B5"/>
          <w:sz w:val="32"/>
        </w:rPr>
        <w:t>参考文献与官方资料</w:t>
      </w:r>
    </w:p>
    <w:p>
      <w:pPr>
        <w:spacing w:after="60" w:line="240" w:lineRule="auto"/>
        <w:ind w:left="360" w:hanging="360"/>
      </w:pPr>
      <w:r>
        <w:rPr>
          <w:rFonts w:ascii="Calibri" w:hAnsi="Calibri" w:eastAsia="Noto Sans CJK SC"/>
          <w:color w:val="1F2937"/>
          <w:sz w:val="17"/>
        </w:rPr>
        <w:t>[1] K. Zhu et al., “TraceLab: Characterizing Coding Agent Workloads for LLM Serving,” arXiv:2606.30560, 2026. https://arxiv.org/abs/2606.30560</w:t>
      </w:r>
    </w:p>
    <w:p>
      <w:pPr>
        <w:spacing w:after="60" w:line="240" w:lineRule="auto"/>
        <w:ind w:left="360" w:hanging="360"/>
      </w:pPr>
      <w:r>
        <w:rPr>
          <w:rFonts w:ascii="Calibri" w:hAnsi="Calibri" w:eastAsia="Noto Sans CJK SC"/>
          <w:color w:val="1F2937"/>
          <w:sz w:val="17"/>
        </w:rPr>
        <w:t>[2] S. Tiwari et al., “CacheWise: Understanding Workloads and Optimizing KVCache Management for Efficiently Serving LLM Coding Agents,” arXiv:2606.16824, 2026. https://arxiv.org/abs/2606.16824</w:t>
      </w:r>
    </w:p>
    <w:p>
      <w:pPr>
        <w:spacing w:after="60" w:line="240" w:lineRule="auto"/>
        <w:ind w:left="360" w:hanging="360"/>
      </w:pPr>
      <w:r>
        <w:rPr>
          <w:rFonts w:ascii="Calibri" w:hAnsi="Calibri" w:eastAsia="Noto Sans CJK SC"/>
          <w:color w:val="1F2937"/>
          <w:sz w:val="17"/>
        </w:rPr>
        <w:t>[3] H. Li et al., “Continuum: Efficient and Robust Multi-Turn LLM Agent Scheduling with KV Cache Time-to-Live,” arXiv:2511.02230, 2025/2026. https://arxiv.org/abs/2511.02230</w:t>
      </w:r>
    </w:p>
    <w:p>
      <w:pPr>
        <w:spacing w:after="60" w:line="240" w:lineRule="auto"/>
        <w:ind w:left="360" w:hanging="360"/>
      </w:pPr>
      <w:r>
        <w:rPr>
          <w:rFonts w:ascii="Calibri" w:hAnsi="Calibri" w:eastAsia="Noto Sans CJK SC"/>
          <w:color w:val="1F2937"/>
          <w:sz w:val="17"/>
        </w:rPr>
        <w:t>[4] H. Kang et al., “ThunderAgent: A Simple, Fast and Program-Aware Agentic Inference System,” arXiv:2602.13692, 2026. https://arxiv.org/abs/2602.13692</w:t>
      </w:r>
    </w:p>
    <w:p>
      <w:pPr>
        <w:spacing w:after="60" w:line="240" w:lineRule="auto"/>
        <w:ind w:left="360" w:hanging="360"/>
      </w:pPr>
      <w:r>
        <w:rPr>
          <w:rFonts w:ascii="Calibri" w:hAnsi="Calibri" w:eastAsia="Noto Sans CJK SC"/>
          <w:color w:val="1F2937"/>
          <w:sz w:val="17"/>
        </w:rPr>
        <w:t>[5] S. Yu et al., “Pythia: Exploiting Workflow Predictability for Efficient Agent-Native LLM Serving,” arXiv:2604.25899, 2026. https://arxiv.org/abs/2604.25899</w:t>
      </w:r>
    </w:p>
    <w:p>
      <w:pPr>
        <w:spacing w:after="60" w:line="240" w:lineRule="auto"/>
        <w:ind w:left="360" w:hanging="360"/>
      </w:pPr>
      <w:r>
        <w:rPr>
          <w:rFonts w:ascii="Calibri" w:hAnsi="Calibri" w:eastAsia="Noto Sans CJK SC"/>
          <w:color w:val="1F2937"/>
          <w:sz w:val="17"/>
        </w:rPr>
        <w:t>[6] Y. Yuan et al., “Agentic AI Workload Characteristics,” arXiv:2605.26297, 2026. https://arxiv.org/abs/2605.26297</w:t>
      </w:r>
    </w:p>
    <w:p>
      <w:pPr>
        <w:spacing w:after="60" w:line="240" w:lineRule="auto"/>
        <w:ind w:left="360" w:hanging="360"/>
      </w:pPr>
      <w:r>
        <w:rPr>
          <w:rFonts w:ascii="Calibri" w:hAnsi="Calibri" w:eastAsia="Noto Sans CJK SC"/>
          <w:color w:val="1F2937"/>
          <w:sz w:val="17"/>
        </w:rPr>
        <w:t>[7] Q. Chen et al., “CONCUR: High-Throughput Agentic Batch Inference of LLM via Congestion-Based Concurrency Control,” arXiv:2601.22705, 2026. https://arxiv.org/abs/2601.22705</w:t>
      </w:r>
    </w:p>
    <w:p>
      <w:pPr>
        <w:spacing w:after="60" w:line="240" w:lineRule="auto"/>
        <w:ind w:left="360" w:hanging="360"/>
      </w:pPr>
      <w:r>
        <w:rPr>
          <w:rFonts w:ascii="Calibri" w:hAnsi="Calibri" w:eastAsia="Noto Sans CJK SC"/>
          <w:color w:val="1F2937"/>
          <w:sz w:val="17"/>
        </w:rPr>
        <w:t>[8] Y. Yuan, M. Chowdhury, and N. Talati, “KAIROS: Stateful, Context-Aware Power-Efficient Agentic Inference Serving,” arXiv:2604.16682, 2026. https://arxiv.org/abs/2604.16682</w:t>
      </w:r>
    </w:p>
    <w:p>
      <w:pPr>
        <w:spacing w:after="60" w:line="240" w:lineRule="auto"/>
        <w:ind w:left="360" w:hanging="360"/>
      </w:pPr>
      <w:r>
        <w:rPr>
          <w:rFonts w:ascii="Calibri" w:hAnsi="Calibri" w:eastAsia="Noto Sans CJK SC"/>
          <w:color w:val="1F2937"/>
          <w:sz w:val="17"/>
        </w:rPr>
        <w:t>[9] S. Weinberger and A. Hozez, “Token Reduction Is Not Cost Reduction,” arXiv:2607.12161, 2026. https://arxiv.org/abs/2607.12161</w:t>
      </w:r>
    </w:p>
    <w:p>
      <w:pPr>
        <w:spacing w:after="60" w:line="240" w:lineRule="auto"/>
        <w:ind w:left="360" w:hanging="360"/>
      </w:pPr>
      <w:r>
        <w:rPr>
          <w:rFonts w:ascii="Calibri" w:hAnsi="Calibri" w:eastAsia="Noto Sans CJK SC"/>
          <w:color w:val="1F2937"/>
          <w:sz w:val="17"/>
        </w:rPr>
        <w:t>[10] S. Weinberger and A. Hozez, “Prompt-Induced Waste in Coding Agents,” arXiv:2608.01347, 2026. https://arxiv.org/abs/2608.01347</w:t>
      </w:r>
    </w:p>
    <w:p>
      <w:pPr>
        <w:spacing w:after="60" w:line="240" w:lineRule="auto"/>
        <w:ind w:left="360" w:hanging="360"/>
      </w:pPr>
      <w:r>
        <w:rPr>
          <w:rFonts w:ascii="Calibri" w:hAnsi="Calibri" w:eastAsia="Noto Sans CJK SC"/>
          <w:color w:val="1F2937"/>
          <w:sz w:val="17"/>
        </w:rPr>
        <w:t>[11] A. Mohamed et al., “Workload-Aware Caching for Multi-Agent Systems,” arXiv:2607.20495, 2026. https://arxiv.org/abs/2607.20495</w:t>
      </w:r>
    </w:p>
    <w:p>
      <w:pPr>
        <w:spacing w:after="60" w:line="240" w:lineRule="auto"/>
        <w:ind w:left="360" w:hanging="360"/>
      </w:pPr>
      <w:r>
        <w:rPr>
          <w:rFonts w:ascii="Calibri" w:hAnsi="Calibri" w:eastAsia="Noto Sans CJK SC"/>
          <w:color w:val="1F2937"/>
          <w:sz w:val="17"/>
        </w:rPr>
        <w:t>[12] M. Wang et al., “Benchmarking LLM Serving Systems for Agentic AI Workloads with XPerf,” arXiv:2608.20370, 2026. https://arxiv.org/abs/2608.20370</w:t>
      </w:r>
    </w:p>
    <w:p>
      <w:pPr>
        <w:spacing w:after="60" w:line="240" w:lineRule="auto"/>
        <w:ind w:left="360" w:hanging="360"/>
      </w:pPr>
      <w:r>
        <w:rPr>
          <w:rFonts w:ascii="Calibri" w:hAnsi="Calibri" w:eastAsia="Noto Sans CJK SC"/>
          <w:color w:val="1F2937"/>
          <w:sz w:val="17"/>
        </w:rPr>
        <w:t>[13] S. Fang et al., “Not All Tokens Are Worth Caching: Learning Semantic-Aware Eviction for LLM Prefix Caches,” arXiv:2605.18825, 2026. https://arxiv.org/abs/2605.18825</w:t>
      </w:r>
    </w:p>
    <w:p>
      <w:pPr>
        <w:spacing w:after="60" w:line="240" w:lineRule="auto"/>
        <w:ind w:left="360" w:hanging="360"/>
      </w:pPr>
      <w:r>
        <w:rPr>
          <w:rFonts w:ascii="Calibri" w:hAnsi="Calibri" w:eastAsia="Noto Sans CJK SC"/>
          <w:color w:val="1F2937"/>
          <w:sz w:val="17"/>
        </w:rPr>
        <w:t>[14] M. Khailo, “Keeping the Cache Warm Pays: Keepalive Economics for Agentic Workloads,” arXiv:2607.19214, 2026. https://arxiv.org/abs/2607.19214</w:t>
      </w:r>
    </w:p>
    <w:p>
      <w:pPr>
        <w:spacing w:after="60" w:line="240" w:lineRule="auto"/>
        <w:ind w:left="360" w:hanging="360"/>
      </w:pPr>
      <w:r>
        <w:rPr>
          <w:rFonts w:ascii="Calibri" w:hAnsi="Calibri" w:eastAsia="Noto Sans CJK SC"/>
          <w:color w:val="1F2937"/>
          <w:sz w:val="17"/>
        </w:rPr>
        <w:t>[15] H. Jang et al., “HyMCache: A KV Cache Framework for Multi-Turn LLM Serving with CXL-Hybrid Memory,” arXiv:2607.18141, 2026. https://arxiv.org/abs/2607.18141</w:t>
      </w:r>
    </w:p>
    <w:p>
      <w:pPr>
        <w:spacing w:after="60" w:line="240" w:lineRule="auto"/>
        <w:ind w:left="360" w:hanging="360"/>
      </w:pPr>
      <w:r>
        <w:rPr>
          <w:rFonts w:ascii="Calibri" w:hAnsi="Calibri" w:eastAsia="Noto Sans CJK SC"/>
          <w:color w:val="1F2937"/>
          <w:sz w:val="17"/>
        </w:rPr>
        <w:t>[16] L. Zheng et al., “SGLang: Efficient Execution of Structured Language Model Programs,” arXiv:2312.07104. https://arxiv.org/abs/2312.07104</w:t>
      </w:r>
    </w:p>
    <w:p>
      <w:pPr>
        <w:spacing w:after="60" w:line="240" w:lineRule="auto"/>
        <w:ind w:left="360" w:hanging="360"/>
      </w:pPr>
      <w:r>
        <w:rPr>
          <w:rFonts w:ascii="Calibri" w:hAnsi="Calibri" w:eastAsia="Noto Sans CJK SC"/>
          <w:color w:val="1F2937"/>
          <w:sz w:val="17"/>
        </w:rPr>
        <w:t>[17] Y. Yao et al., “CacheBlend: Fast Large Language Model Serving for RAG with Cached Knowledge Fusion,” arXiv:2405.16444. https://arxiv.org/abs/2405.16444</w:t>
      </w:r>
    </w:p>
    <w:p>
      <w:pPr>
        <w:spacing w:after="60" w:line="240" w:lineRule="auto"/>
        <w:ind w:left="360" w:hanging="360"/>
      </w:pPr>
      <w:r>
        <w:rPr>
          <w:rFonts w:ascii="Calibri" w:hAnsi="Calibri" w:eastAsia="Noto Sans CJK SC"/>
          <w:color w:val="1F2937"/>
          <w:sz w:val="17"/>
        </w:rPr>
        <w:t>[18] “EPIC: Efficient Position-Independent Caching for Serving Large Language Models,” arXiv:2410.15332. https://arxiv.org/abs/2410.15332</w:t>
      </w:r>
    </w:p>
    <w:p>
      <w:pPr>
        <w:spacing w:after="60" w:line="240" w:lineRule="auto"/>
        <w:ind w:left="360" w:hanging="360"/>
      </w:pPr>
      <w:r>
        <w:rPr>
          <w:rFonts w:ascii="Calibri" w:hAnsi="Calibri" w:eastAsia="Noto Sans CJK SC"/>
          <w:color w:val="1F2937"/>
          <w:sz w:val="17"/>
        </w:rPr>
        <w:t>[19] “Compute Or Load KV Cache? Why Not Both?” arXiv:2410.03065. https://arxiv.org/abs/2410.03065</w:t>
      </w:r>
    </w:p>
    <w:p>
      <w:pPr>
        <w:spacing w:after="60" w:line="240" w:lineRule="auto"/>
        <w:ind w:left="360" w:hanging="360"/>
      </w:pPr>
      <w:r>
        <w:rPr>
          <w:rFonts w:ascii="Calibri" w:hAnsi="Calibri" w:eastAsia="Noto Sans CJK SC"/>
          <w:color w:val="1F2937"/>
          <w:sz w:val="17"/>
        </w:rPr>
        <w:t>[20] “LMCache: An Efficient KV Cache Layer for Enterprise-Scale LLM Inference,” arXiv:2510.09665. https://arxiv.org/abs/2510.09665</w:t>
      </w:r>
    </w:p>
    <w:p>
      <w:pPr>
        <w:spacing w:after="60" w:line="240" w:lineRule="auto"/>
        <w:ind w:left="360" w:hanging="360"/>
      </w:pPr>
      <w:r>
        <w:rPr>
          <w:rFonts w:ascii="Calibri" w:hAnsi="Calibri" w:eastAsia="Noto Sans CJK SC"/>
          <w:color w:val="1F2937"/>
          <w:sz w:val="17"/>
        </w:rPr>
        <w:t>[21] “Strata: Hierarchical Context Caching for Long Context Language Model Serving,” arXiv:2508.18572. https://arxiv.org/abs/2508.18572</w:t>
      </w:r>
    </w:p>
    <w:p>
      <w:pPr>
        <w:spacing w:after="60" w:line="240" w:lineRule="auto"/>
        <w:ind w:left="360" w:hanging="360"/>
      </w:pPr>
      <w:r>
        <w:rPr>
          <w:rFonts w:ascii="Calibri" w:hAnsi="Calibri" w:eastAsia="Noto Sans CJK SC"/>
          <w:color w:val="1F2937"/>
          <w:sz w:val="17"/>
        </w:rPr>
        <w:t>[22] “KVDrive: A Holistic Multi-Tier KV Cache Management System for Long-Context LLM Inference,” arXiv:2605.18071. https://arxiv.org/abs/2605.18071</w:t>
      </w:r>
    </w:p>
    <w:p>
      <w:pPr>
        <w:spacing w:after="60" w:line="240" w:lineRule="auto"/>
        <w:ind w:left="360" w:hanging="360"/>
      </w:pPr>
      <w:r>
        <w:rPr>
          <w:rFonts w:ascii="Calibri" w:hAnsi="Calibri" w:eastAsia="Noto Sans CJK SC"/>
          <w:color w:val="1F2937"/>
          <w:sz w:val="17"/>
        </w:rPr>
        <w:t>[23] “Rethinking Key-Value Cache Compression Techniques for Large Language Model Serving,” arXiv:2503.24000. https://arxiv.org/abs/2503.24000</w:t>
      </w:r>
    </w:p>
    <w:p>
      <w:pPr>
        <w:spacing w:after="60" w:line="240" w:lineRule="auto"/>
        <w:ind w:left="360" w:hanging="360"/>
      </w:pPr>
      <w:r>
        <w:rPr>
          <w:rFonts w:ascii="Calibri" w:hAnsi="Calibri" w:eastAsia="Noto Sans CJK SC"/>
          <w:color w:val="1F2937"/>
          <w:sz w:val="17"/>
        </w:rPr>
        <w:t>[24] “Auditing Prompt Caching in Language Model APIs,” arXiv:2502.07776. https://arxiv.org/abs/2502.07776</w:t>
      </w:r>
    </w:p>
    <w:p>
      <w:pPr>
        <w:spacing w:after="60" w:line="240" w:lineRule="auto"/>
        <w:ind w:left="360" w:hanging="360"/>
      </w:pPr>
      <w:r>
        <w:rPr>
          <w:rFonts w:ascii="Calibri" w:hAnsi="Calibri" w:eastAsia="Noto Sans CJK SC"/>
          <w:color w:val="1F2937"/>
          <w:sz w:val="17"/>
        </w:rPr>
        <w:t>[25] NVIDIA, “GeForce RTX 5090 Specifications,” 32 GB GDDR7. https://www.nvidia.com/en-us/geforce/graphics-cards/50-series/rtx-5090/</w:t>
      </w:r>
    </w:p>
    <w:p>
      <w:pPr>
        <w:pStyle w:val="Heading1"/>
        <w:keepNext/>
        <w:keepLines/>
      </w:pPr>
      <w:r>
        <w:rPr>
          <w:rFonts w:ascii="Calibri" w:hAnsi="Calibri" w:eastAsia="Noto Sans CJK SC"/>
          <w:b/>
          <w:color w:val="2E74B5"/>
          <w:sz w:val="32"/>
        </w:rPr>
        <w:t>附录A：15项补充文献索引</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650"/>
        <w:gridCol w:w="620"/>
        <w:gridCol w:w="4140"/>
        <w:gridCol w:w="1320"/>
        <w:gridCol w:w="2630"/>
      </w:tblGrid>
      <w:tr>
        <w:trPr>
          <w:tblHeader w:val="true"/>
          <w:cantSplit/>
        </w:trPr>
        <w:tc>
          <w:tcPr>
            <w:tcW w:type="dxa" w:w="65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5"/>
              </w:rPr>
              <w:t>ID</w:t>
            </w:r>
          </w:p>
        </w:tc>
        <w:tc>
          <w:tcPr>
            <w:tcW w:type="dxa" w:w="62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5"/>
              </w:rPr>
              <w:t>年</w:t>
            </w:r>
          </w:p>
        </w:tc>
        <w:tc>
          <w:tcPr>
            <w:tcW w:type="dxa" w:w="41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5"/>
              </w:rPr>
              <w:t>题目</w:t>
            </w:r>
          </w:p>
        </w:tc>
        <w:tc>
          <w:tcPr>
            <w:tcW w:type="dxa" w:w="13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5"/>
              </w:rPr>
              <w:t>Gap</w:t>
            </w:r>
          </w:p>
        </w:tc>
        <w:tc>
          <w:tcPr>
            <w:tcW w:type="dxa" w:w="263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5"/>
              </w:rPr>
              <w:t>官方入口</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S01</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TraceLab: Characterizing Coding Agent Workloads for LLM Serving</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G2 有效复用鸿沟</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https://arxiv.org/abs/2606.30560</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S02</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CacheWise: Understanding Workloads and Optimizing KVCache Management for Efficiently Serving LLM Coding Agents</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G3 联合层级决策</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https://arxiv.org/abs/2606.16824</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S03</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2025</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Continuum: Efficient and Robust Multi-Turn LLM Agent Scheduling with KV Cache Time-to-Live</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G3 联合层级决策</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https://arxiv.org/abs/2511.02230</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S04</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ThunderAgent: A Simple, Fast and Program-Aware Agentic Inference System</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G2 有效复用鸿沟</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https://arxiv.org/abs/2602.13692</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S05</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Pythia: Exploiting Workflow Predictability for Efficient Agent-Native LLM Serving</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G8 适用边界</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https://arxiv.org/abs/2604.25899</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S06</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Agentic AI Workload Characteristics</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G2 有效复用鸿沟</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https://arxiv.org/abs/2605.26297</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S07</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CONCUR: High-Throughput Agentic Batch Inference of LLM via Congestion-Based Concurrency Control</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G2 有效复用鸿沟</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https://arxiv.org/abs/2601.22705</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S08</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KAIROS: Stateful, Context-Aware Power-Efficient Agentic Inference Serving</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G4 成功任务成本</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https://arxiv.org/abs/2604.16682</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S09</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Token Reduction Is Not Cost Reduction</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G4 成功任务成本</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https://arxiv.org/abs/2607.12161</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S10</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Prompt-Induced Waste in Coding Agents: Reasoning, Effort, Harness Design, and End-to-End Cost</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G4 成功任务成本</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https://arxiv.org/abs/2608.01347</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S11</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Workload-Aware Caching for Multi-Agent Systems</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G3 联合层级决策</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https://arxiv.org/abs/2607.20495</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S12</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Benchmarking LLM Serving Systems for Agentic AI Workloads with XPerf</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G8 适用边界</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https://arxiv.org/abs/2608.20370</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S13</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Not All Tokens Are Worth Caching: Learning Semantic-Aware Eviction for LLM Prefix Caches</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G5 Prompt与语义布局</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https://arxiv.org/abs/2605.18825</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S14</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Keeping the Cache Warm Pays: Keepalive Economics for Agentic Workloads</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G4 成功任务成本</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https://arxiv.org/abs/2607.19214</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S15</w:t>
            </w:r>
          </w:p>
        </w:tc>
        <w:tc>
          <w:tcPr>
            <w:tcW w:type="dxa" w:w="6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5"/>
              </w:rPr>
              <w:t>2026</w:t>
            </w:r>
          </w:p>
        </w:tc>
        <w:tc>
          <w:tcPr>
            <w:tcW w:type="dxa" w:w="41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HyMCache: A KV Cache Framework for Multi-Turn LLM Serving with CXL-Hybrid Memory</w:t>
            </w:r>
          </w:p>
        </w:tc>
        <w:tc>
          <w:tcPr>
            <w:tcW w:type="dxa" w:w="13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G3 联合层级决策</w:t>
            </w:r>
          </w:p>
        </w:tc>
        <w:tc>
          <w:tcPr>
            <w:tcW w:type="dxa" w:w="26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5"/>
              </w:rPr>
              <w:t>https://arxiv.org/abs/2607.18141</w:t>
            </w:r>
          </w:p>
        </w:tc>
      </w:tr>
    </w:tbl>
    <w:p>
      <w:pPr>
        <w:spacing w:before="0" w:after="40" w:line="240" w:lineRule="auto"/>
      </w:pPr>
      <w:r>
        <w:rPr>
          <w:rFonts w:ascii="Calibri" w:hAnsi="Calibri" w:eastAsia="Noto Sans CJK SC"/>
          <w:sz w:val="2"/>
        </w:rPr>
      </w:r>
    </w:p>
    <w:p>
      <w:pPr>
        <w:pStyle w:val="Heading1"/>
        <w:keepNext/>
        <w:keepLines/>
      </w:pPr>
      <w:r>
        <w:rPr>
          <w:rFonts w:ascii="Calibri" w:hAnsi="Calibri" w:eastAsia="Noto Sans CJK SC"/>
          <w:b/>
          <w:color w:val="2E74B5"/>
          <w:sz w:val="32"/>
        </w:rPr>
        <w:t>附录B：与Excel证据矩阵的关系</w:t>
      </w:r>
    </w:p>
    <w:p>
      <w:pPr>
        <w:keepNext w:val="0"/>
        <w:spacing w:before="0" w:after="120" w:line="264" w:lineRule="auto"/>
        <w:jc w:val="left"/>
      </w:pPr>
      <w:r>
        <w:rPr>
          <w:rFonts w:ascii="Calibri" w:hAnsi="Calibri" w:eastAsia="Noto Sans CJK SC"/>
          <w:b w:val="0"/>
          <w:i w:val="0"/>
          <w:color w:val="1F2937"/>
          <w:sz w:val="22"/>
        </w:rPr>
        <w:t>配套工作簿《Code_Agent_KVCache_Stage_0-4_Evidence_Gap_Matrix_v1.xlsx》包含91项完整证据矩阵、8项研究空白、6条候选路线评分、5个研究问题、6项假设、强制基线、指标口径和15项补充文献。报告结论与工作簿字段一一对应；后续更新应先改证据矩阵，再更新本报告。</w:t>
      </w:r>
    </w:p>
    <w:p>
      <w:pPr>
        <w:pStyle w:val="Heading1"/>
        <w:keepNext/>
        <w:keepLines/>
      </w:pPr>
      <w:r>
        <w:rPr>
          <w:rFonts w:ascii="Calibri" w:hAnsi="Calibri" w:eastAsia="Noto Sans CJK SC"/>
          <w:b/>
          <w:color w:val="2E74B5"/>
          <w:sz w:val="32"/>
        </w:rPr>
        <w:t>附录C：文档控制与变更规则</w:t>
      </w:r>
    </w:p>
    <w:p>
      <w:pPr>
        <w:keepLines/>
        <w:spacing w:before="0" w:after="160" w:line="280" w:lineRule="auto"/>
        <w:numPr>
          <w:ilvl w:val="0"/>
          <w:numId w:val="10"/>
        </w:numPr>
      </w:pPr>
      <w:r>
        <w:rPr>
          <w:rFonts w:ascii="Calibri" w:hAnsi="Calibri" w:eastAsia="Noto Sans CJK SC"/>
          <w:color w:val="1F2937"/>
          <w:sz w:val="19"/>
        </w:rPr>
        <w:t>0-4评审通过前，报告、工作簿和GitHub版本均保持“候选完成，待用户评审”状态。</w:t>
      </w:r>
    </w:p>
    <w:p>
      <w:pPr>
        <w:keepLines/>
        <w:spacing w:before="0" w:after="160" w:line="280" w:lineRule="auto"/>
        <w:numPr>
          <w:ilvl w:val="0"/>
          <w:numId w:val="10"/>
        </w:numPr>
      </w:pPr>
      <w:r>
        <w:rPr>
          <w:rFonts w:ascii="Calibri" w:hAnsi="Calibri" w:eastAsia="Noto Sans CJK SC"/>
          <w:color w:val="1F2937"/>
          <w:sz w:val="19"/>
        </w:rPr>
        <w:t>新增直接竞争论文时，先更新证据矩阵的项目局限和Gap标签，再重新计算候选路线评分。</w:t>
      </w:r>
    </w:p>
    <w:p>
      <w:pPr>
        <w:keepLines/>
        <w:spacing w:before="0" w:after="160" w:line="280" w:lineRule="auto"/>
        <w:numPr>
          <w:ilvl w:val="0"/>
          <w:numId w:val="10"/>
        </w:numPr>
      </w:pPr>
      <w:r>
        <w:rPr>
          <w:rFonts w:ascii="Calibri" w:hAnsi="Calibri" w:eastAsia="Noto Sans CJK SC"/>
          <w:color w:val="1F2937"/>
          <w:sz w:val="19"/>
        </w:rPr>
        <w:t>若首期模型、推理框架或NVMe硬件改变，应在0-5实验方案中更新交叉成本假设，不回写为既成结论。</w:t>
      </w:r>
    </w:p>
    <w:p>
      <w:pPr>
        <w:keepLines/>
        <w:spacing w:before="0" w:after="160" w:line="280" w:lineRule="auto"/>
        <w:numPr>
          <w:ilvl w:val="0"/>
          <w:numId w:val="10"/>
        </w:numPr>
      </w:pPr>
      <w:r>
        <w:rPr>
          <w:rFonts w:ascii="Calibri" w:hAnsi="Calibri" w:eastAsia="Noto Sans CJK SC"/>
          <w:color w:val="1F2937"/>
          <w:sz w:val="19"/>
        </w:rPr>
        <w:t>任何对外论文、专利或项目申请必须把候选目标与实测结果分开，并标注数据版本和统计口径。</w:t>
      </w:r>
    </w:p>
    <w:p>
      <w:pPr>
        <w:spacing w:before="120" w:after="160" w:line="264" w:lineRule="auto"/>
        <w:ind w:left="115" w:right="58"/>
        <w:shd w:fill="E8EEF5" w:val="clear"/>
        <w:pBdr>
          <w:left w:val="single" w:sz="18" w:space="8" w:color="2E74B5"/>
        </w:pBdr>
      </w:pPr>
      <w:r>
        <w:rPr>
          <w:rFonts w:ascii="Calibri" w:hAnsi="Calibri" w:eastAsia="Noto Sans CJK SC"/>
          <w:b/>
          <w:color w:val="1F4D78"/>
          <w:sz w:val="20"/>
        </w:rPr>
        <w:t xml:space="preserve">下一步  </w:t>
      </w:r>
      <w:r>
        <w:rPr>
          <w:rFonts w:ascii="Calibri" w:hAnsi="Calibri" w:eastAsia="Noto Sans CJK SC"/>
          <w:color w:val="1F2937"/>
          <w:sz w:val="20"/>
        </w:rPr>
        <w:t>用户评审通过后，进入0-5阶段：冻结Trace来源、模型/引擎、NVMe微基准和实验矩阵；仍不直接开始完整缓存系统实现。</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Noto Sans CJK SC"/>
        <w:color w:val="5B6573"/>
        <w:sz w:val="16"/>
      </w:rPr>
      <w:t xml:space="preserve">调研结论评审与研究问题收敛  |  </w:t>
    </w:r>
    <w:r>
      <w:rPr>
        <w:rFonts w:ascii="Calibri" w:hAnsi="Calibri" w:eastAsia="Noto Sans CJK SC"/>
        <w:color w:val="5B6573"/>
        <w:sz w:val="17"/>
      </w:rPr>
      <w:fldChar w:fldCharType="begin"/>
      <w:instrText xml:space="preserve">PAGE</w:instrText>
      <w:fldChar w:fldCharType="separate"/>
      <w:t>1</w:t>
      <w:fldChar w:fldCharType="end"/>
    </w:r>
    <w:r>
      <w:rPr>
        <w:rFonts w:ascii="Calibri" w:hAnsi="Calibri" w:eastAsia="Noto Sans CJK SC"/>
        <w:color w:val="5B6573"/>
        <w:sz w:val="16"/>
      </w:rPr>
      <w:t xml:space="preserve"> / </w:t>
    </w:r>
    <w:r>
      <w:rPr>
        <w:rFonts w:ascii="Calibri" w:hAnsi="Calibri" w:eastAsia="Noto Sans CJK SC"/>
        <w:color w:val="5B6573"/>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Noto Sans CJK SC"/>
        <w:b/>
        <w:color w:val="5B6573"/>
        <w:sz w:val="16"/>
      </w:rPr>
      <w:t>STAGE 0-4  |  Code Agent KVCache Research Convergence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spacing w:after="160" w:line="280" w:lineRule="auto"/>
      </w:pPr>
      <w:rPr>
        <w:rFonts w:ascii="Calibri" w:hAnsi="Calibri" w:eastAsia="Noto Sans CJK SC"/>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Noto Sans CJK SC"/>
      <w:b w:val="0"/>
      <w:i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Noto Sans CJK SC"/>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Noto Sans CJK SC"/>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Noto Sans CJK SC"/>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