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ptos" w:hAnsi="Aptos"/>
          <w:b/>
          <w:i w:val="0"/>
          <w:color w:val="B58B32"/>
          <w:sz w:val="21"/>
        </w:rPr>
        <w:t>STAGE 0-5  /  EXPERIMENTAL PREDESIGN</w:t>
      </w:r>
    </w:p>
    <w:p>
      <w:pPr>
        <w:pStyle w:val="Title"/>
        <w:jc w:val="center"/>
      </w:pPr>
      <w:r>
        <w:t>Code Agent KVCache</w:t>
        <w:br/>
        <w:t>Experimental Predesign Report</w:t>
      </w:r>
    </w:p>
    <w:p>
      <w:pPr>
        <w:pStyle w:val="Subtitle"/>
        <w:jc w:val="center"/>
      </w:pPr>
      <w:r>
        <w:t>Effective-Reuse Frontiers and Tiered Retention for Pause-Resume Coding Agents</w:t>
      </w:r>
    </w:p>
    <w:p>
      <w:pPr>
        <w:spacing w:before="360" w:after="560"/>
        <w:jc w:val="center"/>
      </w:pPr>
      <w:r>
        <w:rPr>
          <w:rFonts w:ascii="Aptos" w:hAnsi="Aptos"/>
          <w:b w:val="0"/>
          <w:i/>
          <w:color w:val="2E7D75"/>
          <w:sz w:val="22"/>
        </w:rPr>
        <w:t>Exact-Prefix Reuse and Value-Density-Driven Tiered KV Retention</w:t>
      </w:r>
    </w:p>
    <w:tbl>
      <w:tblPr>
        <w:tblW w:type="dxa" w:w="9360"/>
        <w:jc w:val="left"/>
        <w:tblLayout w:type="fixed"/>
        <w:tblLook w:firstColumn="1" w:firstRow="1" w:lastColumn="0" w:lastRow="0" w:noHBand="0" w:noVBand="1" w:val="04A0"/>
        <w:tblInd w:w="120" w:type="dxa"/>
        <w:tblBorders>
          <w:top w:val="single" w:sz="8" w:color="2E7D75"/>
          <w:left w:val="single" w:sz="8" w:color="2E7D75"/>
          <w:bottom w:val="single" w:sz="8" w:color="2E7D75"/>
          <w:right w:val="single" w:sz="8" w:color="2E7D75"/>
          <w:insideH w:val="single" w:sz="8" w:color="2E7D75"/>
          <w:insideV w:val="single" w:sz="8" w:color="2E7D75"/>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2E7D75"/>
                <w:sz w:val="19"/>
              </w:rPr>
              <w:t xml:space="preserve">Review decision  </w:t>
            </w:r>
            <w:r>
              <w:rPr>
                <w:rFonts w:ascii="Aptos" w:hAnsi="Aptos"/>
                <w:b w:val="0"/>
                <w:i w:val="0"/>
                <w:color w:val="111827"/>
                <w:sz w:val="19"/>
              </w:rPr>
              <w:t>Section 0-5.7 was approved by the project owner on September 2, 2026. The research questions, goals, hypotheses, workloads, baselines, experiment matrix, primary metrics, correctness gates, and reproducibility rules are frozen as of this version.</w:t>
            </w:r>
          </w:p>
        </w:tc>
      </w:tr>
    </w:tbl>
    <w:p>
      <w:pPr>
        <w:spacing w:after="0"/>
      </w:pP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800"/>
        <w:gridCol w:w="7560"/>
      </w:tblGrid>
      <w:tr>
        <w:trPr>
          <w:tblHeader w:val="true"/>
          <w:cantSplit/>
        </w:trPr>
        <w:tc>
          <w:tcPr>
            <w:tcW w:type="dxa" w:w="18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Document field</w:t>
            </w:r>
          </w:p>
        </w:tc>
        <w:tc>
          <w:tcPr>
            <w:tcW w:type="dxa" w:w="75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Frozen value</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Stage</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Stage 0-5: experimental predesign and Stage 1 admission</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Version</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v1.0 / Frozen</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Date</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September 2, 2026</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Initial environment</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Ubuntu / RTX 5090 32 GB / 64 GB DRAM / local NVMe</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Initial model</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Qwen2.5-Coder-7B family; exact revision pending the Stage 1 environment audit</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Initial engine</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vLLM; exact version pending the compatibility audit</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Document type</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Research and experimental design; contains no completed performance results</w:t>
            </w:r>
          </w:p>
        </w:tc>
      </w:tr>
    </w:tbl>
    <w:p>
      <w:pPr>
        <w:spacing w:after="0"/>
      </w:pPr>
    </w:p>
    <w:p>
      <w:pPr>
        <w:spacing w:before="400"/>
        <w:jc w:val="center"/>
      </w:pPr>
      <w:r>
        <w:rPr>
          <w:rFonts w:ascii="Aptos" w:hAnsi="Aptos"/>
          <w:b/>
          <w:i w:val="0"/>
          <w:color w:val="5B6573"/>
          <w:sz w:val="18"/>
        </w:rPr>
        <w:t>Frozen research-design edition | Editable master document</w:t>
      </w:r>
    </w:p>
    <w:p>
      <w:r>
        <w:br w:type="page"/>
      </w:r>
    </w:p>
    <w:p>
      <w:pPr>
        <w:pStyle w:val="Title"/>
      </w:pPr>
      <w:r>
        <w:t>Document Control and Reading Notes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750"/>
        <w:gridCol w:w="7610"/>
      </w:tblGrid>
      <w:tr>
        <w:trPr>
          <w:tblHeader w:val="true"/>
          <w:cantSplit/>
        </w:trPr>
        <w:tc>
          <w:tcPr>
            <w:tcW w:type="dxa" w:w="17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Item</w:t>
            </w:r>
          </w:p>
        </w:tc>
        <w:tc>
          <w:tcPr>
            <w:tcW w:type="dxa" w:w="761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Description</w:t>
            </w:r>
          </w:p>
        </w:tc>
      </w:tr>
      <w:tr>
        <w:trPr>
          <w:cantSplit/>
        </w:trPr>
        <w:tc>
          <w:tcPr>
            <w:tcW w:type="dxa" w:w="17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Status</w:t>
            </w:r>
          </w:p>
        </w:tc>
        <w:tc>
          <w:tcPr>
            <w:tcW w:type="dxa" w:w="76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0-5.7 approved; Stage 0 content frozen; research-repository closure follows archival of this report.</w:t>
            </w:r>
          </w:p>
        </w:tc>
      </w:tr>
      <w:tr>
        <w:trPr>
          <w:cantSplit/>
        </w:trPr>
        <w:tc>
          <w:tcPr>
            <w:tcW w:type="dxa" w:w="17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Scope</w:t>
            </w:r>
          </w:p>
        </w:tc>
        <w:tc>
          <w:tcPr>
            <w:tcW w:type="dxa" w:w="761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Governs the Stage 1 environment audit, Pilot and Core experiments, correctness validation, and result archival.</w:t>
            </w:r>
          </w:p>
        </w:tc>
      </w:tr>
      <w:tr>
        <w:trPr>
          <w:cantSplit/>
        </w:trPr>
        <w:tc>
          <w:tcPr>
            <w:tcW w:type="dxa" w:w="17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Change control</w:t>
            </w:r>
          </w:p>
        </w:tc>
        <w:tc>
          <w:tcPr>
            <w:tcW w:type="dxa" w:w="76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Frozen items are not to be changed in response to observed results. Any necessary change must record its rationale, version, impact, and renewed approval.</w:t>
            </w:r>
          </w:p>
        </w:tc>
      </w:tr>
      <w:tr>
        <w:trPr>
          <w:cantSplit/>
        </w:trPr>
        <w:tc>
          <w:tcPr>
            <w:tcW w:type="dxa" w:w="17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Data discipline</w:t>
            </w:r>
          </w:p>
        </w:tc>
        <w:tc>
          <w:tcPr>
            <w:tcW w:type="dxa" w:w="761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8"/>
              </w:rPr>
              <w:t>Pilot data do not enter Core results; failures and negative findings are retained; candidate targets must not be presented as measurements.</w:t>
            </w:r>
          </w:p>
        </w:tc>
      </w:tr>
      <w:tr>
        <w:trPr>
          <w:cantSplit/>
        </w:trPr>
        <w:tc>
          <w:tcPr>
            <w:tcW w:type="dxa" w:w="17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External sharing</w:t>
            </w:r>
          </w:p>
        </w:tc>
        <w:tc>
          <w:tcPr>
            <w:tcW w:type="dxa" w:w="76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8"/>
              </w:rPr>
              <w:t>This report may explain the research plan to supervisors or collaborators. Unpublished prompts, traces, secrets, and unsanitized logs must not enter external copies.</w:t>
            </w:r>
          </w:p>
        </w:tc>
      </w:tr>
    </w:tbl>
    <w:p>
      <w:pPr>
        <w:spacing w:after="0"/>
      </w:pPr>
    </w:p>
    <w:p>
      <w:pPr>
        <w:pStyle w:val="Heading1"/>
      </w:pPr>
      <w:r>
        <w:t>Executive Summary</w:t>
      </w:r>
    </w:p>
    <w:p>
      <w:r>
        <w:rPr>
          <w:rFonts w:ascii="Aptos" w:hAnsi="Aptos"/>
          <w:b w:val="0"/>
          <w:i w:val="0"/>
          <w:color w:val="111827"/>
          <w:sz w:val="20"/>
        </w:rPr>
        <w:t>This project studies how to reuse KVCache safely during the multi-turn, long-context, tool-interleaved reasoning of Code Agents. Unlike ordinary chat sessions, coding agents pause while executing commands, reading files, waiting for tests, or awaiting human confirmation. They then usually resume by appending relatively few tokens, while return times, session concurrency, and context lengths all exhibit long tails. This structure creates substantial reuse potential, but cache value can be erased by GPU-memory pressure, migration overhead, or an incorrect identity match.</w:t>
      </w:r>
    </w:p>
    <w:p>
      <w:r>
        <w:rPr>
          <w:rFonts w:ascii="Aptos" w:hAnsi="Aptos"/>
          <w:b w:val="0"/>
          <w:i w:val="0"/>
          <w:color w:val="111827"/>
          <w:sz w:val="20"/>
        </w:rPr>
        <w:t>Stage 0 narrows the broad idea of prefix caching plus generic tiered storage into a falsifiable main line. In a constrained single-node environment with an RTX 5090 32 GB GPU, 64 GB of DRAM, and local NVMe, the first-phase correctness boundary is exact token-prefix reuse. The study will measure the gap between theoretical reuse and effective reuse, then make value-density-driven joint decisions among GPU, DRAM, NVMe, and recomputation.</w:t>
      </w:r>
    </w:p>
    <w:tbl>
      <w:tblPr>
        <w:tblW w:type="dxa" w:w="9360"/>
        <w:jc w:val="left"/>
        <w:tblLayout w:type="fixed"/>
        <w:tblLook w:firstColumn="1" w:firstRow="1" w:lastColumn="0" w:lastRow="0" w:noHBand="0" w:noVBand="1" w:val="04A0"/>
        <w:tblInd w:w="120" w:type="dxa"/>
        <w:tblBorders>
          <w:top w:val="single" w:sz="8" w:color="2E7D75"/>
          <w:left w:val="single" w:sz="8" w:color="2E7D75"/>
          <w:bottom w:val="single" w:sz="8" w:color="2E7D75"/>
          <w:right w:val="single" w:sz="8" w:color="2E7D75"/>
          <w:insideH w:val="single" w:sz="8" w:color="2E7D75"/>
          <w:insideV w:val="single" w:sz="8" w:color="2E7D75"/>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2E7D75"/>
                <w:sz w:val="19"/>
              </w:rPr>
              <w:t xml:space="preserve">Core evidence chain  </w:t>
            </w:r>
            <w:r>
              <w:rPr>
                <w:rFonts w:ascii="Aptos" w:hAnsi="Aptos"/>
                <w:b w:val="0"/>
                <w:i w:val="0"/>
                <w:color w:val="111827"/>
                <w:sz w:val="19"/>
              </w:rPr>
              <w:t>Why reuse -&gt; what can be reused safely -&gt; where to restore it from -&gt; whether restoration is faster than recomputation -&gt; whether the output is correct -&gt; whether the task succeeds -&gt; whether the conclusion is reproducible.</w:t>
            </w:r>
          </w:p>
        </w:tc>
      </w:tr>
    </w:tbl>
    <w:p>
      <w:pPr>
        <w:spacing w:after="0"/>
      </w:pPr>
    </w:p>
    <w:p>
      <w:pPr>
        <w:pStyle w:val="Heading2"/>
      </w:pPr>
      <w:r>
        <w:t>Frozen Decisions at a Glance</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450"/>
        <w:gridCol w:w="2850"/>
        <w:gridCol w:w="5060"/>
      </w:tblGrid>
      <w:tr>
        <w:trPr>
          <w:tblHeader w:val="true"/>
          <w:cantSplit/>
        </w:trPr>
        <w:tc>
          <w:tcPr>
            <w:tcW w:type="dxa" w:w="14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Dimension</w:t>
            </w:r>
          </w:p>
        </w:tc>
        <w:tc>
          <w:tcPr>
            <w:tcW w:type="dxa" w:w="28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Frozen decision</w:t>
            </w:r>
          </w:p>
        </w:tc>
        <w:tc>
          <w:tcPr>
            <w:tcW w:type="dxa" w:w="50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Rationale</w:t>
            </w:r>
          </w:p>
        </w:tc>
      </w:tr>
      <w:tr>
        <w:trPr>
          <w:cantSplit/>
        </w:trPr>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Research object</w:t>
            </w:r>
          </w:p>
        </w:tc>
        <w:tc>
          <w:tcPr>
            <w:tcW w:type="dxa" w:w="28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Pause-resume, append-only Code Agent sessions</w:t>
            </w:r>
          </w:p>
        </w:tc>
        <w:tc>
          <w:tcPr>
            <w:tcW w:type="dxa" w:w="5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Focuses on realistic reuse structure that can be validated on one node</w:t>
            </w:r>
          </w:p>
        </w:tc>
      </w:tr>
      <w:tr>
        <w:trPr>
          <w:cantSplit/>
        </w:trPr>
        <w:tc>
          <w:tcPr>
            <w:tcW w:type="dxa" w:w="14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Main line</w:t>
            </w:r>
          </w:p>
        </w:tc>
        <w:tc>
          <w:tcPr>
            <w:tcW w:type="dxa" w:w="28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Exact prefix plus joint GPU/DRAM/NVMe/recompute decisions</w:t>
            </w:r>
          </w:p>
        </w:tc>
        <w:tc>
          <w:tcPr>
            <w:tcW w:type="dxa" w:w="5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Correctness first; benefits must include the complete restoration path</w:t>
            </w:r>
          </w:p>
        </w:tc>
      </w:tr>
      <w:tr>
        <w:trPr>
          <w:cantSplit/>
        </w:trPr>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Core questions</w:t>
            </w:r>
          </w:p>
        </w:tc>
        <w:tc>
          <w:tcPr>
            <w:tcW w:type="dxa" w:w="28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RQ1-RQ4</w:t>
            </w:r>
          </w:p>
        </w:tc>
        <w:tc>
          <w:tcPr>
            <w:tcW w:type="dxa" w:w="5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Reusable volume, effective boundary, tier selection, and task-level value</w:t>
            </w:r>
          </w:p>
        </w:tc>
      </w:tr>
      <w:tr>
        <w:trPr>
          <w:cantSplit/>
        </w:trPr>
        <w:tc>
          <w:tcPr>
            <w:tcW w:type="dxa" w:w="14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Long-term question</w:t>
            </w:r>
          </w:p>
        </w:tc>
        <w:tc>
          <w:tcPr>
            <w:tcW w:type="dxa" w:w="28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RQ5</w:t>
            </w:r>
          </w:p>
        </w:tc>
        <w:tc>
          <w:tcPr>
            <w:tcW w:type="dxa" w:w="5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Generalization across models, attention designs, hardware, and workloads</w:t>
            </w:r>
          </w:p>
        </w:tc>
      </w:tr>
      <w:tr>
        <w:trPr>
          <w:cantSplit/>
        </w:trPr>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High-risk extension</w:t>
            </w:r>
          </w:p>
        </w:tc>
        <w:tc>
          <w:tcPr>
            <w:tcW w:type="dxa" w:w="28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G6 non-prefix reuse</w:t>
            </w:r>
          </w:p>
        </w:tc>
        <w:tc>
          <w:tcPr>
            <w:tcW w:type="dxa" w:w="5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Begins only after the exact-prefix main line passes all gates</w:t>
            </w:r>
          </w:p>
        </w:tc>
      </w:tr>
      <w:tr>
        <w:trPr>
          <w:cantSplit/>
        </w:trPr>
        <w:tc>
          <w:tcPr>
            <w:tcW w:type="dxa" w:w="14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Primary metrics</w:t>
            </w:r>
          </w:p>
        </w:tc>
        <w:tc>
          <w:tcPr>
            <w:tcW w:type="dxa" w:w="28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Correctness, effective hits, P95 TTFT, session completion time, and cost per successful task</w:t>
            </w:r>
          </w:p>
        </w:tc>
        <w:tc>
          <w:tcPr>
            <w:tcW w:type="dxa" w:w="5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Avoids substituting a single hit-rate number for system value</w:t>
            </w:r>
          </w:p>
        </w:tc>
      </w:tr>
      <w:tr>
        <w:trPr>
          <w:cantSplit/>
        </w:trPr>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Experimental discipline</w:t>
            </w:r>
          </w:p>
        </w:tc>
        <w:tc>
          <w:tcPr>
            <w:tcW w:type="dxa" w:w="28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Separate Pilot/Core, paired traces, and retain negative results</w:t>
            </w:r>
          </w:p>
        </w:tc>
        <w:tc>
          <w:tcPr>
            <w:tcW w:type="dxa" w:w="5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Reduces selection bias and supports reproducibility</w:t>
            </w:r>
          </w:p>
        </w:tc>
      </w:tr>
    </w:tbl>
    <w:p>
      <w:pPr>
        <w:spacing w:after="0"/>
      </w:pPr>
    </w:p>
    <w:p>
      <w:pPr>
        <w:pStyle w:val="Title"/>
      </w:pPr>
      <w:r>
        <w:t>1. Stage Positioning and Research Boundaries</w:t>
      </w:r>
    </w:p>
    <w:p>
      <w:pPr>
        <w:pStyle w:val="Heading1"/>
      </w:pPr>
      <w:r>
        <w:t>1.1 Purpose of Stage 0-5</w:t>
      </w:r>
    </w:p>
    <w:p>
      <w:r>
        <w:rPr>
          <w:rFonts w:ascii="Aptos" w:hAnsi="Aptos"/>
          <w:b w:val="0"/>
          <w:i w:val="0"/>
          <w:color w:val="111827"/>
          <w:sz w:val="20"/>
        </w:rPr>
        <w:t>The purpose of 0-5 is not to implement a complete caching system immediately. It converts the converged research problems from 0-4 into an executable, comparable, falsifiable, and reproducible experimental protocol. The protocol must define workloads, replay modes, baselines, experiment groups, metrics, correctness gates, statistical rules, exception handling, hardware boundaries, and Stage 1 admission conditions.</w:t>
      </w:r>
    </w:p>
    <w:p>
      <w:pPr>
        <w:pStyle w:val="Heading1"/>
      </w:pPr>
      <w:r>
        <w:t>1.2 Research Object and System Events</w:t>
      </w:r>
    </w:p>
    <w:p>
      <w:r>
        <w:rPr>
          <w:rFonts w:ascii="Aptos" w:hAnsi="Aptos"/>
          <w:b w:val="0"/>
          <w:i w:val="0"/>
          <w:color w:val="111827"/>
          <w:sz w:val="20"/>
        </w:rPr>
        <w:t>A Code Agent task alternates between multiple LLM calls and tool executions. After each model call, the session may pause, at which point the system chooses whether to retain or migrate its KV state. When the session resumes, the system validates cache identity and integrity and restores from the selected tier. If the expected benefit is insufficient, the cache is absent, or the identity is incompatible, the system performs prefill again.</w:t>
      </w:r>
    </w:p>
    <w:p>
      <w:pPr>
        <w:pStyle w:val="ListBullet"/>
      </w:pPr>
      <w:r>
        <w:rPr>
          <w:rFonts w:ascii="Aptos" w:hAnsi="Aptos"/>
          <w:b w:val="0"/>
          <w:i w:val="0"/>
          <w:color w:val="111827"/>
          <w:sz w:val="20"/>
        </w:rPr>
        <w:t>Event boundaries: request arrival, prefill, decode, tool start, tool end, human wait, session resume, and session completion.</w:t>
      </w:r>
    </w:p>
    <w:p>
      <w:pPr>
        <w:pStyle w:val="ListBullet"/>
      </w:pPr>
      <w:r>
        <w:rPr>
          <w:rFonts w:ascii="Aptos" w:hAnsi="Aptos"/>
          <w:b w:val="0"/>
          <w:i w:val="0"/>
          <w:color w:val="111827"/>
          <w:sz w:val="20"/>
        </w:rPr>
        <w:t>Candidate actions: retain on GPU, migrate to DRAM, migrate to NVMe, or evict and recompute on return.</w:t>
      </w:r>
    </w:p>
    <w:p>
      <w:pPr>
        <w:pStyle w:val="ListBullet"/>
      </w:pPr>
      <w:r>
        <w:rPr>
          <w:rFonts w:ascii="Aptos" w:hAnsi="Aptos"/>
          <w:b w:val="0"/>
          <w:i w:val="0"/>
          <w:color w:val="111827"/>
          <w:sz w:val="20"/>
        </w:rPr>
        <w:t>Decision inputs: prefix length, KV bytes, predicted return time, tier latency/bandwidth, concurrency pressure, compatibility domain, and prediction confidence.</w:t>
      </w:r>
    </w:p>
    <w:p>
      <w:pPr>
        <w:pStyle w:val="ListBullet"/>
      </w:pPr>
      <w:r>
        <w:rPr>
          <w:rFonts w:ascii="Aptos" w:hAnsi="Aptos"/>
          <w:b w:val="0"/>
          <w:i w:val="0"/>
          <w:color w:val="111827"/>
          <w:sz w:val="20"/>
        </w:rPr>
        <w:t>Decision outputs: target tier, migration priority, TTL or re-evaluation time, fallback path, and auditable rationale.</w:t>
      </w:r>
    </w:p>
    <w:p>
      <w:pPr>
        <w:pStyle w:val="Heading1"/>
      </w:pPr>
      <w:r>
        <w:t>1.3 Explicit First-Phase Exclusions</w:t>
      </w:r>
    </w:p>
    <w:p>
      <w:pPr>
        <w:pStyle w:val="ListBullet"/>
      </w:pPr>
      <w:r>
        <w:rPr>
          <w:rFonts w:ascii="Aptos" w:hAnsi="Aptos"/>
          <w:b w:val="0"/>
          <w:i w:val="0"/>
          <w:color w:val="111827"/>
          <w:sz w:val="20"/>
        </w:rPr>
        <w:t>Multi-node RDMA, distributed caches, and large-scale cluster scheduling.</w:t>
      </w:r>
    </w:p>
    <w:p>
      <w:pPr>
        <w:pStyle w:val="ListBullet"/>
      </w:pPr>
      <w:r>
        <w:rPr>
          <w:rFonts w:ascii="Aptos" w:hAnsi="Aptos"/>
          <w:b w:val="0"/>
          <w:i w:val="0"/>
          <w:color w:val="111827"/>
          <w:sz w:val="20"/>
        </w:rPr>
        <w:t>Treating access to H100/H200 or CXL/HBM servers as a condition for starting Stage 1.</w:t>
      </w:r>
    </w:p>
    <w:p>
      <w:pPr>
        <w:pStyle w:val="ListBullet"/>
      </w:pPr>
      <w:r>
        <w:rPr>
          <w:rFonts w:ascii="Aptos" w:hAnsi="Aptos"/>
          <w:b w:val="0"/>
          <w:i w:val="0"/>
          <w:color w:val="111827"/>
          <w:sz w:val="20"/>
        </w:rPr>
        <w:t>Direct KV reuse for arbitrarily semantically similar text.</w:t>
      </w:r>
    </w:p>
    <w:p>
      <w:pPr>
        <w:pStyle w:val="ListBullet"/>
      </w:pPr>
      <w:r>
        <w:rPr>
          <w:rFonts w:ascii="Aptos" w:hAnsi="Aptos"/>
          <w:b w:val="0"/>
          <w:i w:val="0"/>
          <w:color w:val="111827"/>
          <w:sz w:val="20"/>
        </w:rPr>
        <w:t>Sharing private content across tenants or accepting a cache hit without a complete compatibility key.</w:t>
      </w:r>
    </w:p>
    <w:p>
      <w:pPr>
        <w:pStyle w:val="ListBullet"/>
      </w:pPr>
      <w:r>
        <w:rPr>
          <w:rFonts w:ascii="Aptos" w:hAnsi="Aptos"/>
          <w:b w:val="0"/>
          <w:i w:val="0"/>
          <w:color w:val="111827"/>
          <w:sz w:val="20"/>
        </w:rPr>
        <w:t>Freezing CUDA, PyTorch, vLLM, or model revisions before an environment audit.</w:t>
      </w:r>
    </w:p>
    <w:p>
      <w:pPr>
        <w:pStyle w:val="ListBullet"/>
      </w:pPr>
      <w:r>
        <w:rPr>
          <w:rFonts w:ascii="Aptos" w:hAnsi="Aptos"/>
          <w:b w:val="0"/>
          <w:i w:val="0"/>
          <w:color w:val="111827"/>
          <w:sz w:val="20"/>
        </w:rPr>
        <w:t>Treating a provider's prompt-cache internals as a local KV-tensor experiment.</w:t>
      </w:r>
    </w:p>
    <w:p>
      <w:pPr>
        <w:pStyle w:val="Title"/>
      </w:pPr>
      <w:r>
        <w:t>2. Research Questions, Goals, and Falsifiable Hypotheses</w:t>
      </w:r>
    </w:p>
    <w:p>
      <w:pPr>
        <w:pStyle w:val="Heading1"/>
      </w:pPr>
      <w:r>
        <w:t>2.1 Research Questions (RQs)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900"/>
        <w:gridCol w:w="5220"/>
        <w:gridCol w:w="3240"/>
      </w:tblGrid>
      <w:tr>
        <w:trPr>
          <w:tblHeader w:val="true"/>
          <w:cantSplit/>
        </w:trPr>
        <w:tc>
          <w:tcPr>
            <w:tcW w:type="dxa" w:w="9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ID</w:t>
            </w:r>
          </w:p>
        </w:tc>
        <w:tc>
          <w:tcPr>
            <w:tcW w:type="dxa" w:w="522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Research question</w:t>
            </w:r>
          </w:p>
        </w:tc>
        <w:tc>
          <w:tcPr>
            <w:tcW w:type="dxa" w:w="324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Primary observation</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RQ1</w:t>
            </w:r>
          </w:p>
        </w:tc>
        <w:tc>
          <w:tcPr>
            <w:tcW w:type="dxa" w:w="52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How much KVCache in Code Agent requests can be reused safely?</w:t>
            </w:r>
          </w:p>
        </w:tc>
        <w:tc>
          <w:tcPr>
            <w:tcW w:type="dxa" w:w="32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Exact-prefix structure, compatible hits, and resident hits</w:t>
            </w:r>
          </w:p>
        </w:tc>
      </w:tr>
      <w:tr>
        <w:trPr>
          <w:cantSplit/>
        </w:trPr>
        <w:tc>
          <w:tcPr>
            <w:tcW w:type="dxa" w:w="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RQ2</w:t>
            </w:r>
          </w:p>
        </w:tc>
        <w:tc>
          <w:tcPr>
            <w:tcW w:type="dxa" w:w="52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How large is the gap between theoretically reusable data and effective reuse that delivers a positive benefit?</w:t>
            </w:r>
          </w:p>
        </w:tc>
        <w:tc>
          <w:tcPr>
            <w:tcW w:type="dxa" w:w="32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Logical hits, negative-benefit hits, and effective hits</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RQ3</w:t>
            </w:r>
          </w:p>
        </w:tc>
        <w:tc>
          <w:tcPr>
            <w:tcW w:type="dxa" w:w="52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How should the system make joint decisions among GPU, DRAM, NVMe, and recomputation?</w:t>
            </w:r>
          </w:p>
        </w:tc>
        <w:tc>
          <w:tcPr>
            <w:tcW w:type="dxa" w:w="32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Break-even boundaries, capacity pressure, migration, and queueing overhead</w:t>
            </w:r>
          </w:p>
        </w:tc>
      </w:tr>
      <w:tr>
        <w:trPr>
          <w:cantSplit/>
        </w:trPr>
        <w:tc>
          <w:tcPr>
            <w:tcW w:type="dxa" w:w="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RQ4</w:t>
            </w:r>
          </w:p>
        </w:tc>
        <w:tc>
          <w:tcPr>
            <w:tcW w:type="dxa" w:w="52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Does tiered reuse improve P95 TTFT, session completion time, and cost per successful task?</w:t>
            </w:r>
          </w:p>
        </w:tc>
        <w:tc>
          <w:tcPr>
            <w:tcW w:type="dxa" w:w="32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Performance, success rate, energy, and cost</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RQ5</w:t>
            </w:r>
          </w:p>
        </w:tc>
        <w:tc>
          <w:tcPr>
            <w:tcW w:type="dxa" w:w="52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Do the core findings generalize across models, architectures, hardware, and Agent workloads?</w:t>
            </w:r>
          </w:p>
        </w:tc>
        <w:tc>
          <w:tcPr>
            <w:tcW w:type="dxa" w:w="32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Relative rankings, boundary shifts, and failure conditions</w:t>
            </w:r>
          </w:p>
        </w:tc>
      </w:tr>
    </w:tbl>
    <w:p>
      <w:pPr>
        <w:spacing w:after="0"/>
      </w:pPr>
    </w:p>
    <w:p>
      <w:pPr>
        <w:pStyle w:val="Heading1"/>
      </w:pPr>
      <w:r>
        <w:t>2.2 Research Goals (G1-G8)</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900"/>
        <w:gridCol w:w="6740"/>
        <w:gridCol w:w="1720"/>
      </w:tblGrid>
      <w:tr>
        <w:trPr>
          <w:tblHeader w:val="true"/>
          <w:cantSplit/>
        </w:trPr>
        <w:tc>
          <w:tcPr>
            <w:tcW w:type="dxa" w:w="9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Goal</w:t>
            </w:r>
          </w:p>
        </w:tc>
        <w:tc>
          <w:tcPr>
            <w:tcW w:type="dxa" w:w="674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Description</w:t>
            </w:r>
          </w:p>
        </w:tc>
        <w:tc>
          <w:tcPr>
            <w:tcW w:type="dxa" w:w="172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Priority</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G1</w:t>
            </w:r>
          </w:p>
        </w:tc>
        <w:tc>
          <w:tcPr>
            <w:tcW w:type="dxa" w:w="67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Characterize stable exact prefixes and safely reusable volume</w:t>
            </w:r>
          </w:p>
        </w:tc>
        <w:tc>
          <w:tcPr>
            <w:tcW w:type="dxa" w:w="17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Main line</w:t>
            </w:r>
          </w:p>
        </w:tc>
      </w:tr>
      <w:tr>
        <w:trPr>
          <w:cantSplit/>
        </w:trPr>
        <w:tc>
          <w:tcPr>
            <w:tcW w:type="dxa" w:w="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G2</w:t>
            </w:r>
          </w:p>
        </w:tc>
        <w:tc>
          <w:tcPr>
            <w:tcW w:type="dxa" w:w="67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Quantify the gaps among theoretical, resident, and effective hits</w:t>
            </w:r>
          </w:p>
        </w:tc>
        <w:tc>
          <w:tcPr>
            <w:tcW w:type="dxa" w:w="17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Main line</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G3</w:t>
            </w:r>
          </w:p>
        </w:tc>
        <w:tc>
          <w:tcPr>
            <w:tcW w:type="dxa" w:w="67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Build a joint GPU/DRAM/NVMe/recompute decision policy</w:t>
            </w:r>
          </w:p>
        </w:tc>
        <w:tc>
          <w:tcPr>
            <w:tcW w:type="dxa" w:w="17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Main line</w:t>
            </w:r>
          </w:p>
        </w:tc>
      </w:tr>
      <w:tr>
        <w:trPr>
          <w:cantSplit/>
        </w:trPr>
        <w:tc>
          <w:tcPr>
            <w:tcW w:type="dxa" w:w="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G4</w:t>
            </w:r>
          </w:p>
        </w:tc>
        <w:tc>
          <w:tcPr>
            <w:tcW w:type="dxa" w:w="67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Connect system benefits to task value through cost per successful task</w:t>
            </w:r>
          </w:p>
        </w:tc>
        <w:tc>
          <w:tcPr>
            <w:tcW w:type="dxa" w:w="17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Main line</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G5</w:t>
            </w:r>
          </w:p>
        </w:tc>
        <w:tc>
          <w:tcPr>
            <w:tcW w:type="dxa" w:w="67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Evaluate layouts that place stable prompt content first</w:t>
            </w:r>
          </w:p>
        </w:tc>
        <w:tc>
          <w:tcPr>
            <w:tcW w:type="dxa" w:w="17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Main line</w:t>
            </w:r>
          </w:p>
        </w:tc>
      </w:tr>
      <w:tr>
        <w:trPr>
          <w:cantSplit/>
        </w:trPr>
        <w:tc>
          <w:tcPr>
            <w:tcW w:type="dxa" w:w="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G6</w:t>
            </w:r>
          </w:p>
        </w:tc>
        <w:tc>
          <w:tcPr>
            <w:tcW w:type="dxa" w:w="67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Explore dependency-aware non-prefix reuse with selective recomputation</w:t>
            </w:r>
          </w:p>
        </w:tc>
        <w:tc>
          <w:tcPr>
            <w:tcW w:type="dxa" w:w="17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High-risk extension</w:t>
            </w:r>
          </w:p>
        </w:tc>
      </w:tr>
      <w:tr>
        <w:trPr>
          <w:cantSplit/>
        </w:trPr>
        <w:tc>
          <w:tcPr>
            <w:tcW w:type="dxa" w:w="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G7</w:t>
            </w:r>
          </w:p>
        </w:tc>
        <w:tc>
          <w:tcPr>
            <w:tcW w:type="dxa" w:w="67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Establish multi-tenant, version, integrity, and security boundaries</w:t>
            </w:r>
          </w:p>
        </w:tc>
        <w:tc>
          <w:tcPr>
            <w:tcW w:type="dxa" w:w="17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Main-line gate</w:t>
            </w:r>
          </w:p>
        </w:tc>
      </w:tr>
      <w:tr>
        <w:trPr>
          <w:cantSplit/>
        </w:trPr>
        <w:tc>
          <w:tcPr>
            <w:tcW w:type="dxa" w:w="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G8</w:t>
            </w:r>
          </w:p>
        </w:tc>
        <w:tc>
          <w:tcPr>
            <w:tcW w:type="dxa" w:w="67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Evaluate generalization across models, attention designs, hardware, and tasks</w:t>
            </w:r>
          </w:p>
        </w:tc>
        <w:tc>
          <w:tcPr>
            <w:tcW w:type="dxa" w:w="17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Long-term extension</w:t>
            </w:r>
          </w:p>
        </w:tc>
      </w:tr>
    </w:tbl>
    <w:p>
      <w:pPr>
        <w:spacing w:after="0"/>
      </w:pPr>
    </w:p>
    <w:p>
      <w:pPr>
        <w:pStyle w:val="Heading1"/>
      </w:pPr>
      <w:r>
        <w:t>2.3 Falsifiable Hypotheses (H1-H8)</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100"/>
        <w:gridCol w:w="4900"/>
        <w:gridCol w:w="3360"/>
      </w:tblGrid>
      <w:tr>
        <w:trPr>
          <w:tblHeader w:val="true"/>
          <w:cantSplit/>
        </w:trPr>
        <w:tc>
          <w:tcPr>
            <w:tcW w:type="dxa" w:w="11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ID</w:t>
            </w:r>
          </w:p>
        </w:tc>
        <w:tc>
          <w:tcPr>
            <w:tcW w:type="dxa" w:w="49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Testable statement</w:t>
            </w:r>
          </w:p>
        </w:tc>
        <w:tc>
          <w:tcPr>
            <w:tcW w:type="dxa" w:w="33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Falsification condition</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H1</w:t>
            </w:r>
          </w:p>
        </w:tc>
        <w:tc>
          <w:tcPr>
            <w:tcW w:type="dxa" w:w="4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Code Agent traces contain substantial stable exact token prefixes.</w:t>
            </w:r>
          </w:p>
        </w:tc>
        <w:tc>
          <w:tcPr>
            <w:tcW w:type="dxa" w:w="33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Prefix repetition in W1/W2 is low and B1 can reuse almost nothing.</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H2</w:t>
            </w:r>
          </w:p>
        </w:tc>
        <w:tc>
          <w:tcPr>
            <w:tcW w:type="dxa" w:w="4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The theoretical hit rate is materially higher than the effective hit rate.</w:t>
            </w:r>
          </w:p>
        </w:tc>
        <w:tc>
          <w:tcPr>
            <w:tcW w:type="dxa" w:w="33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The gap remains negligible across pressure conditions.</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H3</w:t>
            </w:r>
          </w:p>
        </w:tc>
        <w:tc>
          <w:tcPr>
            <w:tcW w:type="dxa" w:w="4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Value-density-driven B5 outperforms strong baselines under equal correctness and cache budgets.</w:t>
            </w:r>
          </w:p>
        </w:tc>
        <w:tc>
          <w:tcPr>
            <w:tcW w:type="dxa" w:w="33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B5 cannot consistently improve the frozen primary metrics.</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H4</w:t>
            </w:r>
          </w:p>
        </w:tc>
        <w:tc>
          <w:tcPr>
            <w:tcW w:type="dxa" w:w="4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Measurable benefit boundaries exist among DRAM, NVMe, and recomputation.</w:t>
            </w:r>
          </w:p>
        </w:tc>
        <w:tc>
          <w:tcPr>
            <w:tcW w:type="dxa" w:w="33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One tier is always superior or always ineffective in every condition.</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H5</w:t>
            </w:r>
          </w:p>
        </w:tc>
        <w:tc>
          <w:tcPr>
            <w:tcW w:type="dxa" w:w="4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Placing stable content first improves safe exact-prefix reuse.</w:t>
            </w:r>
          </w:p>
        </w:tc>
        <w:tc>
          <w:tcPr>
            <w:tcW w:type="dxa" w:w="33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Hits do not improve, or task quality/token identity declines.</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H6</w:t>
            </w:r>
          </w:p>
        </w:tc>
        <w:tc>
          <w:tcPr>
            <w:tcW w:type="dxa" w:w="4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Dependency awareness and selective recomputation enable controlled non-prefix reuse.</w:t>
            </w:r>
          </w:p>
        </w:tc>
        <w:tc>
          <w:tcPr>
            <w:tcW w:type="dxa" w:w="33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Errors are unacceptable, or repair costs erase all benefits.</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H7</w:t>
            </w:r>
          </w:p>
        </w:tc>
        <w:tc>
          <w:tcPr>
            <w:tcW w:type="dxa" w:w="4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Complete compatibility keys, trust-domain salts, and integrity checks prevent incorrect sharing.</w:t>
            </w:r>
          </w:p>
        </w:tc>
        <w:tc>
          <w:tcPr>
            <w:tcW w:type="dxa" w:w="33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Cross-tenant, cross-version, or corrupted KV is accepted.</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H8</w:t>
            </w:r>
          </w:p>
        </w:tc>
        <w:tc>
          <w:tcPr>
            <w:tcW w:type="dxa" w:w="4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The core relationships apply to more than one model or hardware configuration.</w:t>
            </w:r>
          </w:p>
        </w:tc>
        <w:tc>
          <w:tcPr>
            <w:tcW w:type="dxa" w:w="33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The conclusions depend entirely on one device, model, or workload.</w:t>
            </w:r>
          </w:p>
        </w:tc>
      </w:tr>
    </w:tbl>
    <w:p>
      <w:pPr>
        <w:spacing w:after="0"/>
      </w:pPr>
    </w:p>
    <w:tbl>
      <w:tblPr>
        <w:tblW w:type="dxa" w:w="9360"/>
        <w:jc w:val="left"/>
        <w:tblLayout w:type="fixed"/>
        <w:tblLook w:firstColumn="1" w:firstRow="1" w:lastColumn="0" w:lastRow="0" w:noHBand="0" w:noVBand="1" w:val="04A0"/>
        <w:tblInd w:w="120" w:type="dxa"/>
        <w:tblBorders>
          <w:top w:val="single" w:sz="8" w:color="A33A3A"/>
          <w:left w:val="single" w:sz="8" w:color="A33A3A"/>
          <w:bottom w:val="single" w:sz="8" w:color="A33A3A"/>
          <w:right w:val="single" w:sz="8" w:color="A33A3A"/>
          <w:insideH w:val="single" w:sz="8" w:color="A33A3A"/>
          <w:insideV w:val="single" w:sz="8" w:color="A33A3A"/>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A33A3A"/>
                <w:sz w:val="19"/>
              </w:rPr>
              <w:t xml:space="preserve">Freeze discipline  </w:t>
            </w:r>
            <w:r>
              <w:rPr>
                <w:rFonts w:ascii="Aptos" w:hAnsi="Aptos"/>
                <w:b w:val="0"/>
                <w:i w:val="0"/>
                <w:color w:val="111827"/>
                <w:sz w:val="19"/>
              </w:rPr>
              <w:t>Hypotheses are allowed to be falsified. Primary metrics, hypotheses, and exception rules must not be redefined after Core results are observed merely to obtain a positive finding.</w:t>
            </w:r>
          </w:p>
        </w:tc>
      </w:tr>
    </w:tbl>
    <w:p>
      <w:pPr>
        <w:spacing w:after="0"/>
      </w:pPr>
    </w:p>
    <w:p>
      <w:pPr>
        <w:pStyle w:val="Title"/>
      </w:pPr>
      <w:r>
        <w:t>3. Method Definitions and Benefit Model</w:t>
      </w:r>
    </w:p>
    <w:p>
      <w:pPr>
        <w:pStyle w:val="Heading1"/>
      </w:pPr>
      <w:r>
        <w:t>3.1 Three Types of Hit</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700"/>
        <w:gridCol w:w="5160"/>
        <w:gridCol w:w="2500"/>
      </w:tblGrid>
      <w:tr>
        <w:trPr>
          <w:tblHeader w:val="true"/>
          <w:cantSplit/>
        </w:trPr>
        <w:tc>
          <w:tcPr>
            <w:tcW w:type="dxa" w:w="17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Concept</w:t>
            </w:r>
          </w:p>
        </w:tc>
        <w:tc>
          <w:tcPr>
            <w:tcW w:type="dxa" w:w="51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Decision rule</w:t>
            </w:r>
          </w:p>
        </w:tc>
        <w:tc>
          <w:tcPr>
            <w:tcW w:type="dxa" w:w="2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Counts as effective</w:t>
            </w:r>
          </w:p>
        </w:tc>
      </w:tr>
      <w:tr>
        <w:trPr>
          <w:cantSplit/>
        </w:trPr>
        <w:tc>
          <w:tcPr>
            <w:tcW w:type="dxa" w:w="17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Theoretical/logical hit</w:t>
            </w:r>
          </w:p>
        </w:tc>
        <w:tc>
          <w:tcPr>
            <w:tcW w:type="dxa" w:w="51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An identical exact token prefix exists in history.</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No</w:t>
            </w:r>
          </w:p>
        </w:tc>
      </w:tr>
      <w:tr>
        <w:trPr>
          <w:cantSplit/>
        </w:trPr>
        <w:tc>
          <w:tcPr>
            <w:tcW w:type="dxa" w:w="17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Resident hit</w:t>
            </w:r>
          </w:p>
        </w:tc>
        <w:tc>
          <w:tcPr>
            <w:tcW w:type="dxa" w:w="51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A compatible cache remains readable in a storage tier.</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No</w:t>
            </w:r>
          </w:p>
        </w:tc>
      </w:tr>
      <w:tr>
        <w:trPr>
          <w:cantSplit/>
        </w:trPr>
        <w:tc>
          <w:tcPr>
            <w:tcW w:type="dxa" w:w="17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Effective hit</w:t>
            </w:r>
          </w:p>
        </w:tc>
        <w:tc>
          <w:tcPr>
            <w:tcW w:type="dxa" w:w="51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The complete restoration path succeeds, is faster than recomputation, and passes correctness gates.</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Yes</w:t>
            </w:r>
          </w:p>
        </w:tc>
      </w:tr>
      <w:tr>
        <w:trPr>
          <w:cantSplit/>
        </w:trPr>
        <w:tc>
          <w:tcPr>
            <w:tcW w:type="dxa" w:w="17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Negative-benefit hit</w:t>
            </w:r>
          </w:p>
        </w:tc>
        <w:tc>
          <w:tcPr>
            <w:tcW w:type="dxa" w:w="51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A logical hit is restored successfully, but the restoration path is not faster than recomputation.</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No; reported separately</w:t>
            </w:r>
          </w:p>
        </w:tc>
      </w:tr>
    </w:tbl>
    <w:p>
      <w:pPr>
        <w:spacing w:after="0"/>
      </w:pPr>
    </w:p>
    <w:p>
      <w:pPr>
        <w:pStyle w:val="Heading1"/>
      </w:pPr>
      <w:r>
        <w:t>3.2 Timing Decision</w:t>
      </w:r>
    </w:p>
    <w:tbl>
      <w:tblPr>
        <w:tblW w:type="dxa" w:w="9360"/>
        <w:jc w:val="left"/>
        <w:tblLayout w:type="fixed"/>
        <w:tblLook w:firstColumn="1" w:firstRow="1" w:lastColumn="0" w:lastRow="0" w:noHBand="0" w:noVBand="1" w:val="04A0"/>
        <w:tblInd w:w="120" w:type="dxa"/>
        <w:tblBorders>
          <w:top w:val="single" w:sz="8" w:color="2E7D75"/>
          <w:left w:val="single" w:sz="8" w:color="2E7D75"/>
          <w:bottom w:val="single" w:sz="8" w:color="2E7D75"/>
          <w:right w:val="single" w:sz="8" w:color="2E7D75"/>
          <w:insideH w:val="single" w:sz="8" w:color="2E7D75"/>
          <w:insideV w:val="single" w:sz="8" w:color="2E7D75"/>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2E7D75"/>
                <w:sz w:val="19"/>
              </w:rPr>
              <w:t xml:space="preserve">Effective-reuse condition  </w:t>
            </w:r>
            <w:r>
              <w:rPr>
                <w:rFonts w:ascii="Aptos" w:hAnsi="Aptos"/>
                <w:b w:val="0"/>
                <w:i w:val="0"/>
                <w:color w:val="111827"/>
                <w:sz w:val="19"/>
              </w:rPr>
              <w:t>T_lookup + T_queue + T_transfer + T_restore &lt; T_recompute</w:t>
            </w:r>
          </w:p>
        </w:tc>
      </w:tr>
    </w:tbl>
    <w:p>
      <w:pPr>
        <w:spacing w:after="0"/>
      </w:pPr>
    </w:p>
    <w:p>
      <w:r>
        <w:rPr>
          <w:rFonts w:ascii="Aptos" w:hAnsi="Aptos"/>
          <w:b w:val="0"/>
          <w:i w:val="0"/>
          <w:color w:val="111827"/>
          <w:sz w:val="20"/>
        </w:rPr>
        <w:t>Every component must be measured on the same hardware, at the same concurrency, and across identical timing boundaries. NVMe tests must distinguish cold reads, page-cache-hot reads, and explicitly controlled conditions so that Linux page-cache DRAM performance is not misclassified as storage performance.</w:t>
      </w:r>
    </w:p>
    <w:p>
      <w:pPr>
        <w:pStyle w:val="Heading1"/>
      </w:pPr>
      <w:r>
        <w:t>3.3 Candidate Value Function</w:t>
      </w:r>
    </w:p>
    <w:tbl>
      <w:tblPr>
        <w:tblW w:type="dxa" w:w="9360"/>
        <w:jc w:val="left"/>
        <w:tblLayout w:type="fixed"/>
        <w:tblLook w:firstColumn="1" w:firstRow="1" w:lastColumn="0" w:lastRow="0" w:noHBand="0" w:noVBand="1" w:val="04A0"/>
        <w:tblInd w:w="120" w:type="dxa"/>
        <w:tblBorders>
          <w:top w:val="single" w:sz="8" w:color="2E7D75"/>
          <w:left w:val="single" w:sz="8" w:color="2E7D75"/>
          <w:bottom w:val="single" w:sz="8" w:color="2E7D75"/>
          <w:right w:val="single" w:sz="8" w:color="2E7D75"/>
          <w:insideH w:val="single" w:sz="8" w:color="2E7D75"/>
          <w:insideV w:val="single" w:sz="8" w:color="2E7D75"/>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2E7D75"/>
                <w:sz w:val="19"/>
              </w:rPr>
              <w:t xml:space="preserve">Candidate decision expression  </w:t>
            </w:r>
            <w:r>
              <w:rPr>
                <w:rFonts w:ascii="Aptos" w:hAnsi="Aptos"/>
                <w:b w:val="0"/>
                <w:i w:val="0"/>
                <w:color w:val="111827"/>
                <w:sz w:val="19"/>
              </w:rPr>
              <w:t>Benefit(i,l) = p_return(i) x [T_recompute(i) - T_restore(i,l)] - C_move(i,l) - lambda_l x Bytes(i)</w:t>
            </w:r>
          </w:p>
        </w:tc>
      </w:tr>
    </w:tbl>
    <w:p>
      <w:pPr>
        <w:spacing w:after="0"/>
      </w:pPr>
    </w:p>
    <w:p>
      <w:r>
        <w:rPr>
          <w:rFonts w:ascii="Aptos" w:hAnsi="Aptos"/>
          <w:b w:val="0"/>
          <w:i w:val="0"/>
          <w:color w:val="111827"/>
          <w:sz w:val="20"/>
        </w:rPr>
        <w:t>Here, i denotes a cache entry or block and l denotes a storage tier. This expression is a candidate framework to be tested through measurements and ablations; it is not a proven algorithm. If no tier yields a positive benefit, the system selects recomputation. Under capacity constraints, entries with greater expected benefit per byte receive priority.</w:t>
      </w:r>
    </w:p>
    <w:p>
      <w:pPr>
        <w:pStyle w:val="Heading1"/>
      </w:pPr>
      <w:r>
        <w:t>3.4 Frozen Metric Definitions</w:t>
      </w:r>
    </w:p>
    <w:p>
      <w:pPr>
        <w:pStyle w:val="ListBullet"/>
      </w:pPr>
      <w:r>
        <w:rPr>
          <w:rFonts w:ascii="Aptos" w:hAnsi="Aptos"/>
          <w:b w:val="0"/>
          <w:i w:val="0"/>
          <w:color w:val="111827"/>
          <w:sz w:val="20"/>
        </w:rPr>
        <w:t>Theoretical token hit rate H_token = sum of logically reused prefill tokens / sum of all prefill tokens.</w:t>
      </w:r>
    </w:p>
    <w:p>
      <w:pPr>
        <w:pStyle w:val="ListBullet"/>
      </w:pPr>
      <w:r>
        <w:rPr>
          <w:rFonts w:ascii="Aptos" w:hAnsi="Aptos"/>
          <w:b w:val="0"/>
          <w:i w:val="0"/>
          <w:color w:val="111827"/>
          <w:sz w:val="20"/>
        </w:rPr>
        <w:t>Effective token hit rate H_effective = sum of correct tokens whose complete restoration path is faster than recomputation / sum of all prefill tokens.</w:t>
      </w:r>
    </w:p>
    <w:p>
      <w:pPr>
        <w:pStyle w:val="ListBullet"/>
      </w:pPr>
      <w:r>
        <w:rPr>
          <w:rFonts w:ascii="Aptos" w:hAnsi="Aptos"/>
          <w:b w:val="0"/>
          <w:i w:val="0"/>
          <w:color w:val="111827"/>
          <w:sz w:val="20"/>
        </w:rPr>
        <w:t>Cost per successful task C_success = total end-to-end system cost / number of successful tasks.</w:t>
      </w:r>
    </w:p>
    <w:p>
      <w:pPr>
        <w:pStyle w:val="Title"/>
      </w:pPr>
      <w:r>
        <w:t>4. Workload and Replay Design</w:t>
      </w:r>
    </w:p>
    <w:p>
      <w:pPr>
        <w:pStyle w:val="Heading1"/>
      </w:pPr>
      <w:r>
        <w:t>4.1 Three Workload Classes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500"/>
        <w:gridCol w:w="2580"/>
        <w:gridCol w:w="2800"/>
        <w:gridCol w:w="2480"/>
      </w:tblGrid>
      <w:tr>
        <w:trPr>
          <w:tblHeader w:val="true"/>
          <w:cantSplit/>
        </w:trPr>
        <w:tc>
          <w:tcPr>
            <w:tcW w:type="dxa" w:w="1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Workload</w:t>
            </w:r>
          </w:p>
        </w:tc>
        <w:tc>
          <w:tcPr>
            <w:tcW w:type="dxa" w:w="258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Content</w:t>
            </w:r>
          </w:p>
        </w:tc>
        <w:tc>
          <w:tcPr>
            <w:tcW w:type="dxa" w:w="28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Primary value</w:t>
            </w:r>
          </w:p>
        </w:tc>
        <w:tc>
          <w:tcPr>
            <w:tcW w:type="dxa" w:w="248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Primary limitation</w:t>
            </w:r>
          </w:p>
        </w:tc>
      </w:tr>
      <w:tr>
        <w:trPr>
          <w:cantSplit/>
        </w:trPr>
        <w:tc>
          <w:tcPr>
            <w:tcW w:type="dxa" w:w="1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W1 Public real traces</w:t>
            </w:r>
          </w:p>
        </w:tc>
        <w:tc>
          <w:tcPr>
            <w:tcW w:type="dxa" w:w="25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Request lengths, timestamps, session relations, tool pauses, and concurrency</w:t>
            </w:r>
          </w:p>
        </w:tc>
        <w:tc>
          <w:tcPr>
            <w:tcW w:type="dxa" w:w="2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Realistic structure and distributions for R1</w:t>
            </w:r>
          </w:p>
        </w:tc>
        <w:tc>
          <w:tcPr>
            <w:tcW w:type="dxa" w:w="24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May omit full prompts, preventing exact output reproduction</w:t>
            </w:r>
          </w:p>
        </w:tc>
      </w:tr>
      <w:tr>
        <w:trPr>
          <w:cantSplit/>
        </w:trPr>
        <w:tc>
          <w:tcPr>
            <w:tcW w:type="dxa" w:w="1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W2 Self-collected SWE-bench Agent traces</w:t>
            </w:r>
          </w:p>
        </w:tc>
        <w:tc>
          <w:tcPr>
            <w:tcW w:type="dxa" w:w="258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A fixed Agent/model/template/tool/task/decoding setup with complete token IDs and timestamps</w:t>
            </w:r>
          </w:p>
        </w:tc>
        <w:tc>
          <w:tcPr>
            <w:tcW w:type="dxa" w:w="2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Supports R2/R3, task success, and cost per successful task</w:t>
            </w:r>
          </w:p>
        </w:tc>
        <w:tc>
          <w:tcPr>
            <w:tcW w:type="dxa" w:w="248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Expensive to collect and requires strict version control</w:t>
            </w:r>
          </w:p>
        </w:tc>
      </w:tr>
      <w:tr>
        <w:trPr>
          <w:cantSplit/>
        </w:trPr>
        <w:tc>
          <w:tcPr>
            <w:tcW w:type="dxa" w:w="1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W3 Controlled synthetic traces</w:t>
            </w:r>
          </w:p>
        </w:tc>
        <w:tc>
          <w:tcPr>
            <w:tcW w:type="dxa" w:w="25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Independently varies length, pause, concurrency, cache pressure, edit ratio, or return probability</w:t>
            </w:r>
          </w:p>
        </w:tc>
        <w:tc>
          <w:tcPr>
            <w:tcW w:type="dxa" w:w="2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Isolates causal variables and benefit boundaries</w:t>
            </w:r>
          </w:p>
        </w:tc>
        <w:tc>
          <w:tcPr>
            <w:tcW w:type="dxa" w:w="24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Does not represent complete real behavior</w:t>
            </w:r>
          </w:p>
        </w:tc>
      </w:tr>
    </w:tbl>
    <w:p>
      <w:pPr>
        <w:spacing w:after="0"/>
      </w:pPr>
    </w:p>
    <w:p>
      <w:pPr>
        <w:pStyle w:val="Heading1"/>
      </w:pPr>
      <w:r>
        <w:t>4.2 Three Replay Modes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600"/>
        <w:gridCol w:w="2500"/>
        <w:gridCol w:w="2780"/>
        <w:gridCol w:w="2480"/>
      </w:tblGrid>
      <w:tr>
        <w:trPr>
          <w:tblHeader w:val="true"/>
          <w:cantSplit/>
        </w:trPr>
        <w:tc>
          <w:tcPr>
            <w:tcW w:type="dxa" w:w="16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Mode</w:t>
            </w:r>
          </w:p>
        </w:tc>
        <w:tc>
          <w:tcPr>
            <w:tcW w:type="dxa" w:w="2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Preserved content</w:t>
            </w:r>
          </w:p>
        </w:tc>
        <w:tc>
          <w:tcPr>
            <w:tcW w:type="dxa" w:w="278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Purpose</w:t>
            </w:r>
          </w:p>
        </w:tc>
        <w:tc>
          <w:tcPr>
            <w:tcW w:type="dxa" w:w="248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Correctness requirement</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R1 Structural replay</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Timing, lengths, sessions, dependencies, and request order</w:t>
            </w:r>
          </w:p>
        </w:tc>
        <w:tc>
          <w:tcPr>
            <w:tcW w:type="dxa" w:w="27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Scheduling, capacity, and tier pressure</w:t>
            </w:r>
          </w:p>
        </w:tc>
        <w:tc>
          <w:tcPr>
            <w:tcW w:type="dxa" w:w="24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Event and resource behavior must match</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R2 Token-exact replay</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Identical token IDs and request boundaries</w:t>
            </w:r>
          </w:p>
        </w:tc>
        <w:tc>
          <w:tcPr>
            <w:tcW w:type="dxa" w:w="278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KV correctness and repeatable performance</w:t>
            </w:r>
          </w:p>
        </w:tc>
        <w:tc>
          <w:tcPr>
            <w:tcW w:type="dxa" w:w="248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Exact-prefix output tokens must be identical</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R3 End-to-end replay</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The Agent, tools, tasks, and tests run for real</w:t>
            </w:r>
          </w:p>
        </w:tc>
        <w:tc>
          <w:tcPr>
            <w:tcW w:type="dxa" w:w="27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Task value, success rate, and total cost</w:t>
            </w:r>
          </w:p>
        </w:tc>
        <w:tc>
          <w:tcPr>
            <w:tcW w:type="dxa" w:w="248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Task tests and success definitions must be frozen</w:t>
            </w:r>
          </w:p>
        </w:tc>
      </w:tr>
    </w:tbl>
    <w:p>
      <w:pPr>
        <w:spacing w:after="0"/>
      </w:pPr>
    </w:p>
    <w:p>
      <w:pPr>
        <w:pStyle w:val="Heading1"/>
      </w:pPr>
      <w:r>
        <w:t>4.3 Minimum Trace Schema</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900"/>
        <w:gridCol w:w="7460"/>
      </w:tblGrid>
      <w:tr>
        <w:trPr>
          <w:tblHeader w:val="true"/>
          <w:cantSplit/>
        </w:trPr>
        <w:tc>
          <w:tcPr>
            <w:tcW w:type="dxa" w:w="19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Field group</w:t>
            </w:r>
          </w:p>
        </w:tc>
        <w:tc>
          <w:tcPr>
            <w:tcW w:type="dxa" w:w="74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Required fields</w:t>
            </w:r>
          </w:p>
        </w:tc>
      </w:tr>
      <w:tr>
        <w:trPr>
          <w:cantSplit/>
        </w:trPr>
        <w:tc>
          <w:tcPr>
            <w:tcW w:type="dxa" w:w="1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Identity</w:t>
            </w:r>
          </w:p>
        </w:tc>
        <w:tc>
          <w:tcPr>
            <w:tcW w:type="dxa" w:w="7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trace_id, session_id, request_id, tenant_domain, experiment_run_id</w:t>
            </w:r>
          </w:p>
        </w:tc>
      </w:tr>
      <w:tr>
        <w:trPr>
          <w:cantSplit/>
        </w:trPr>
        <w:tc>
          <w:tcPr>
            <w:tcW w:type="dxa" w:w="1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 compatibility</w:t>
            </w:r>
          </w:p>
        </w:tc>
        <w:tc>
          <w:tcPr>
            <w:tcW w:type="dxa" w:w="74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model_revision, tokenizer_hash, adapter_id, engine_version, kv_layout, dtype, quantization</w:t>
            </w:r>
          </w:p>
        </w:tc>
      </w:tr>
      <w:tr>
        <w:trPr>
          <w:cantSplit/>
        </w:trPr>
        <w:tc>
          <w:tcPr>
            <w:tcW w:type="dxa" w:w="1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Timing</w:t>
            </w:r>
          </w:p>
        </w:tc>
        <w:tc>
          <w:tcPr>
            <w:tcW w:type="dxa" w:w="7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arrival, prefill_start/end, decode_end, tool_start/end, resume, finish</w:t>
            </w:r>
          </w:p>
        </w:tc>
      </w:tr>
      <w:tr>
        <w:trPr>
          <w:cantSplit/>
        </w:trPr>
        <w:tc>
          <w:tcPr>
            <w:tcW w:type="dxa" w:w="1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Tokens</w:t>
            </w:r>
          </w:p>
        </w:tc>
        <w:tc>
          <w:tcPr>
            <w:tcW w:type="dxa" w:w="74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input_token_ids/hash, prefix_length, output_token_ids/hash, position/RoPE configuration</w:t>
            </w:r>
          </w:p>
        </w:tc>
      </w:tr>
      <w:tr>
        <w:trPr>
          <w:cantSplit/>
        </w:trPr>
        <w:tc>
          <w:tcPr>
            <w:tcW w:type="dxa" w:w="1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Cache events</w:t>
            </w:r>
          </w:p>
        </w:tc>
        <w:tc>
          <w:tcPr>
            <w:tcW w:type="dxa" w:w="7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cache_key_hash, tier_before/after, bytes, lookup/queue/transfer/restore time, fallback_reason</w:t>
            </w:r>
          </w:p>
        </w:tc>
      </w:tr>
      <w:tr>
        <w:trPr>
          <w:cantSplit/>
        </w:trPr>
        <w:tc>
          <w:tcPr>
            <w:tcW w:type="dxa" w:w="19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Task outcome</w:t>
            </w:r>
          </w:p>
        </w:tc>
        <w:tc>
          <w:tcPr>
            <w:tcW w:type="dxa" w:w="74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task_id, tests_passed, success, retry_count, failure_class</w:t>
            </w:r>
          </w:p>
        </w:tc>
      </w:tr>
      <w:tr>
        <w:trPr>
          <w:cantSplit/>
        </w:trPr>
        <w:tc>
          <w:tcPr>
            <w:tcW w:type="dxa" w:w="19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System state</w:t>
            </w:r>
          </w:p>
        </w:tc>
        <w:tc>
          <w:tcPr>
            <w:tcW w:type="dxa" w:w="7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GPU/CPU/DRAM/NVMe, temperature, frequency, power, swap, I/O, and concurrency</w:t>
            </w:r>
          </w:p>
        </w:tc>
      </w:tr>
    </w:tbl>
    <w:p>
      <w:pPr>
        <w:spacing w:after="0"/>
      </w:pPr>
    </w:p>
    <w:p>
      <w:pPr>
        <w:pStyle w:val="Title"/>
      </w:pPr>
      <w:r>
        <w:t>5. Baselines and Fair-Comparison Protocol</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100"/>
        <w:gridCol w:w="3920"/>
        <w:gridCol w:w="4340"/>
      </w:tblGrid>
      <w:tr>
        <w:trPr>
          <w:tblHeader w:val="true"/>
          <w:cantSplit/>
        </w:trPr>
        <w:tc>
          <w:tcPr>
            <w:tcW w:type="dxa" w:w="11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Baseline</w:t>
            </w:r>
          </w:p>
        </w:tc>
        <w:tc>
          <w:tcPr>
            <w:tcW w:type="dxa" w:w="392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Definition</w:t>
            </w:r>
          </w:p>
        </w:tc>
        <w:tc>
          <w:tcPr>
            <w:tcW w:type="dxa" w:w="434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Question answered</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B0</w:t>
            </w:r>
          </w:p>
        </w:tc>
        <w:tc>
          <w:tcPr>
            <w:tcW w:type="dxa" w:w="39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No cross-request cache; prefill is recomputed every time</w:t>
            </w:r>
          </w:p>
        </w:tc>
        <w:tc>
          <w:tcPr>
            <w:tcW w:type="dxa" w:w="4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What is the theoretical maximum saving?</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B1</w:t>
            </w:r>
          </w:p>
        </w:tc>
        <w:tc>
          <w:tcPr>
            <w:tcW w:type="dxa" w:w="39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Exact prefix plus LRU</w:t>
            </w:r>
          </w:p>
        </w:tc>
        <w:tc>
          <w:tcPr>
            <w:tcW w:type="dxa" w:w="43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Does the proposed method beat a mature conventional prefix-cache baseline?</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B2</w:t>
            </w:r>
          </w:p>
        </w:tc>
        <w:tc>
          <w:tcPr>
            <w:tcW w:type="dxa" w:w="39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Fixed TTL</w:t>
            </w:r>
          </w:p>
        </w:tc>
        <w:tc>
          <w:tcPr>
            <w:tcW w:type="dxa" w:w="4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Does a complex policy beat a simple retention window?</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B3</w:t>
            </w:r>
          </w:p>
        </w:tc>
        <w:tc>
          <w:tcPr>
            <w:tcW w:type="dxa" w:w="39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Return-probability prediction</w:t>
            </w:r>
          </w:p>
        </w:tc>
        <w:tc>
          <w:tcPr>
            <w:tcW w:type="dxa" w:w="43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Does value density improve on prediction alone?</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B4</w:t>
            </w:r>
          </w:p>
        </w:tc>
        <w:tc>
          <w:tcPr>
            <w:tcW w:type="dxa" w:w="39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DRAM only</w:t>
            </w:r>
          </w:p>
        </w:tc>
        <w:tc>
          <w:tcPr>
            <w:tcW w:type="dxa" w:w="4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Do NVMe and joint decisions add value?</w:t>
            </w:r>
          </w:p>
        </w:tc>
      </w:tr>
      <w:tr>
        <w:trPr>
          <w:cantSplit/>
        </w:trPr>
        <w:tc>
          <w:tcPr>
            <w:tcW w:type="dxa" w:w="11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B5</w:t>
            </w:r>
          </w:p>
        </w:tc>
        <w:tc>
          <w:tcPr>
            <w:tcW w:type="dxa" w:w="39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Joint GPU + DRAM + NVMe + recompute policy</w:t>
            </w:r>
          </w:p>
        </w:tc>
        <w:tc>
          <w:tcPr>
            <w:tcW w:type="dxa" w:w="43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Does the proposed method improve the frozen primary metrics?</w:t>
            </w:r>
          </w:p>
        </w:tc>
      </w:tr>
      <w:tr>
        <w:trPr>
          <w:cantSplit/>
        </w:trPr>
        <w:tc>
          <w:tcPr>
            <w:tcW w:type="dxa" w:w="11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B6</w:t>
            </w:r>
          </w:p>
        </w:tc>
        <w:tc>
          <w:tcPr>
            <w:tcW w:type="dxa" w:w="39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Provider keepalive/prompt cache</w:t>
            </w:r>
          </w:p>
        </w:tc>
        <w:tc>
          <w:tcPr>
            <w:tcW w:type="dxa" w:w="4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Independent economic and user-experience comparison; excluded from local performance ranking</w:t>
            </w:r>
          </w:p>
        </w:tc>
      </w:tr>
    </w:tbl>
    <w:p>
      <w:pPr>
        <w:spacing w:after="0"/>
      </w:pPr>
    </w:p>
    <w:p>
      <w:pPr>
        <w:pStyle w:val="Heading1"/>
      </w:pPr>
      <w:r>
        <w:t>5.1 Frozen Fairness Conditions</w:t>
      </w:r>
    </w:p>
    <w:p>
      <w:pPr>
        <w:pStyle w:val="ListBullet"/>
      </w:pPr>
      <w:r>
        <w:rPr>
          <w:rFonts w:ascii="Aptos" w:hAnsi="Aptos"/>
          <w:b w:val="0"/>
          <w:i w:val="0"/>
          <w:color w:val="111827"/>
          <w:sz w:val="20"/>
        </w:rPr>
        <w:t>Use the same model and weights, tokenizer, prompt tokens, output length, and decoding configuration.</w:t>
      </w:r>
    </w:p>
    <w:p>
      <w:pPr>
        <w:pStyle w:val="ListBullet"/>
      </w:pPr>
      <w:r>
        <w:rPr>
          <w:rFonts w:ascii="Aptos" w:hAnsi="Aptos"/>
          <w:b w:val="0"/>
          <w:i w:val="0"/>
          <w:color w:val="111827"/>
          <w:sz w:val="20"/>
        </w:rPr>
        <w:t>Use the same request order, hardware, concurrency, total cache budget, warm-up, and measurement window.</w:t>
      </w:r>
    </w:p>
    <w:p>
      <w:pPr>
        <w:pStyle w:val="ListBullet"/>
      </w:pPr>
      <w:r>
        <w:rPr>
          <w:rFonts w:ascii="Aptos" w:hAnsi="Aptos"/>
          <w:b w:val="0"/>
          <w:i w:val="0"/>
          <w:color w:val="111827"/>
          <w:sz w:val="20"/>
        </w:rPr>
        <w:t>Use paired traces for B0-B5; randomize or interleave run order to limit time drift.</w:t>
      </w:r>
    </w:p>
    <w:p>
      <w:pPr>
        <w:pStyle w:val="ListBullet"/>
      </w:pPr>
      <w:r>
        <w:rPr>
          <w:rFonts w:ascii="Aptos" w:hAnsi="Aptos"/>
          <w:b w:val="0"/>
          <w:i w:val="0"/>
          <w:color w:val="111827"/>
          <w:sz w:val="20"/>
        </w:rPr>
        <w:t>Align cache budgets by usable bytes; no policy receives extra GPU, DRAM, or NVMe capacity.</w:t>
      </w:r>
    </w:p>
    <w:p>
      <w:pPr>
        <w:pStyle w:val="ListBullet"/>
      </w:pPr>
      <w:r>
        <w:rPr>
          <w:rFonts w:ascii="Aptos" w:hAnsi="Aptos"/>
          <w:b w:val="0"/>
          <w:i w:val="0"/>
          <w:color w:val="111827"/>
          <w:sz w:val="20"/>
        </w:rPr>
        <w:t>Report B6 pricing, TTFT, task success, and limitations separately; do not rank its opaque infrastructure directly against local implementations.</w:t>
      </w:r>
    </w:p>
    <w:p>
      <w:pPr>
        <w:pStyle w:val="Heading1"/>
      </w:pPr>
      <w:r>
        <w:t>5.2 B5 Decision Outputs and Auditability</w:t>
      </w:r>
    </w:p>
    <w:p>
      <w:r>
        <w:rPr>
          <w:rFonts w:ascii="Aptos" w:hAnsi="Aptos"/>
          <w:b w:val="0"/>
          <w:i w:val="0"/>
          <w:color w:val="111827"/>
          <w:sz w:val="20"/>
        </w:rPr>
        <w:t>Every B5 action must record the estimated benefit for each candidate tier, the selected action, predicted return probability, bytes, migration cost, final restoration path, fallback status, and rationale. The policy must produce auditable decisions and may not hide incorrect hits or budget overruns behind unexplained global state.</w:t>
      </w:r>
    </w:p>
    <w:p>
      <w:pPr>
        <w:pStyle w:val="Title"/>
      </w:pPr>
      <w:r>
        <w:t>6. Experiment Matrix M0-M8</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650"/>
        <w:gridCol w:w="2350"/>
        <w:gridCol w:w="2500"/>
        <w:gridCol w:w="2860"/>
      </w:tblGrid>
      <w:tr>
        <w:trPr>
          <w:tblHeader w:val="true"/>
          <w:cantSplit/>
        </w:trPr>
        <w:tc>
          <w:tcPr>
            <w:tcW w:type="dxa" w:w="16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Experiment</w:t>
            </w:r>
          </w:p>
        </w:tc>
        <w:tc>
          <w:tcPr>
            <w:tcW w:type="dxa" w:w="23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Core task</w:t>
            </w:r>
          </w:p>
        </w:tc>
        <w:tc>
          <w:tcPr>
            <w:tcW w:type="dxa" w:w="2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Entry condition</w:t>
            </w:r>
          </w:p>
        </w:tc>
        <w:tc>
          <w:tcPr>
            <w:tcW w:type="dxa" w:w="28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Exit evidence</w:t>
            </w:r>
          </w:p>
        </w:tc>
      </w:tr>
      <w:tr>
        <w:trPr>
          <w:cantSplit/>
        </w:trPr>
        <w:tc>
          <w:tcPr>
            <w:tcW w:type="dxa" w:w="16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M0 Smoke test</w:t>
            </w:r>
          </w:p>
        </w:tc>
        <w:tc>
          <w:tcPr>
            <w:tcW w:type="dxa" w:w="2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Connect the model, trace, metrics, and manifest</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Environment audit complete</w:t>
            </w:r>
          </w:p>
        </w:tc>
        <w:tc>
          <w:tcPr>
            <w:tcW w:type="dxa" w:w="28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Minimal request is reproducible and the metric pipeline is complete</w:t>
            </w:r>
          </w:p>
        </w:tc>
      </w:tr>
      <w:tr>
        <w:trPr>
          <w:cantSplit/>
        </w:trPr>
        <w:tc>
          <w:tcPr>
            <w:tcW w:type="dxa" w:w="16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M1 Microbenchmark</w:t>
            </w:r>
          </w:p>
        </w:tc>
        <w:tc>
          <w:tcPr>
            <w:tcW w:type="dxa" w:w="23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Measure GPU/DRAM/NVMe restoration and recomputation curves</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M0 passed</w:t>
            </w:r>
          </w:p>
        </w:tc>
        <w:tc>
          <w:tcPr>
            <w:tcW w:type="dxa" w:w="28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Break-even curves by token count, bytes, and concurrency</w:t>
            </w:r>
          </w:p>
        </w:tc>
      </w:tr>
      <w:tr>
        <w:trPr>
          <w:cantSplit/>
        </w:trPr>
        <w:tc>
          <w:tcPr>
            <w:tcW w:type="dxa" w:w="16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M2 Synthetic causal study</w:t>
            </w:r>
          </w:p>
        </w:tc>
        <w:tc>
          <w:tcPr>
            <w:tcW w:type="dxa" w:w="2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Vary length, pause, concurrency, and pressure independently</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M1 boundaries available</w:t>
            </w:r>
          </w:p>
        </w:tc>
        <w:tc>
          <w:tcPr>
            <w:tcW w:type="dxa" w:w="28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Main and interaction effects are interpretable</w:t>
            </w:r>
          </w:p>
        </w:tc>
      </w:tr>
      <w:tr>
        <w:trPr>
          <w:cantSplit/>
        </w:trPr>
        <w:tc>
          <w:tcPr>
            <w:tcW w:type="dxa" w:w="16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M3 Real structural replay</w:t>
            </w:r>
          </w:p>
        </w:tc>
        <w:tc>
          <w:tcPr>
            <w:tcW w:type="dxa" w:w="23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Replay W1 under R1</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Trace-validity checks passed</w:t>
            </w:r>
          </w:p>
        </w:tc>
        <w:tc>
          <w:tcPr>
            <w:tcW w:type="dxa" w:w="28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Capacity and scheduling results under real distributions</w:t>
            </w:r>
          </w:p>
        </w:tc>
      </w:tr>
      <w:tr>
        <w:trPr>
          <w:cantSplit/>
        </w:trPr>
        <w:tc>
          <w:tcPr>
            <w:tcW w:type="dxa" w:w="16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M4 Token-exact replay</w:t>
            </w:r>
          </w:p>
        </w:tc>
        <w:tc>
          <w:tcPr>
            <w:tcW w:type="dxa" w:w="2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Replay W2 under R2</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B0/B1 correctness passed</w:t>
            </w:r>
          </w:p>
        </w:tc>
        <w:tc>
          <w:tcPr>
            <w:tcW w:type="dxa" w:w="28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Output tokens match and paired comparison is possible</w:t>
            </w:r>
          </w:p>
        </w:tc>
      </w:tr>
      <w:tr>
        <w:trPr>
          <w:cantSplit/>
        </w:trPr>
        <w:tc>
          <w:tcPr>
            <w:tcW w:type="dxa" w:w="16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M5 End-to-end Agent</w:t>
            </w:r>
          </w:p>
        </w:tc>
        <w:tc>
          <w:tcPr>
            <w:tcW w:type="dxa" w:w="23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Run W2 under R3</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Task harness frozen</w:t>
            </w:r>
          </w:p>
        </w:tc>
        <w:tc>
          <w:tcPr>
            <w:tcW w:type="dxa" w:w="28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Success rate, completion time, and cost per successful task</w:t>
            </w:r>
          </w:p>
        </w:tc>
      </w:tr>
      <w:tr>
        <w:trPr>
          <w:cantSplit/>
        </w:trPr>
        <w:tc>
          <w:tcPr>
            <w:tcW w:type="dxa" w:w="16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M6 Ablation</w:t>
            </w:r>
          </w:p>
        </w:tc>
        <w:tc>
          <w:tcPr>
            <w:tcW w:type="dxa" w:w="2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Disable B5 components one at a time</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B5 runs reliably</w:t>
            </w:r>
          </w:p>
        </w:tc>
        <w:tc>
          <w:tcPr>
            <w:tcW w:type="dxa" w:w="28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Actual contributions and adverse effects identified</w:t>
            </w:r>
          </w:p>
        </w:tc>
      </w:tr>
      <w:tr>
        <w:trPr>
          <w:cantSplit/>
        </w:trPr>
        <w:tc>
          <w:tcPr>
            <w:tcW w:type="dxa" w:w="16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M7 Security and faults</w:t>
            </w:r>
          </w:p>
        </w:tc>
        <w:tc>
          <w:tcPr>
            <w:tcW w:type="dxa" w:w="23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Inject wrong keys, corruption, cross-tenant access, and I/O/process faults</w:t>
            </w:r>
          </w:p>
        </w:tc>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Compatibility key and checks implemented</w:t>
            </w:r>
          </w:p>
        </w:tc>
        <w:tc>
          <w:tcPr>
            <w:tcW w:type="dxa" w:w="28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5"/>
              </w:rPr>
              <w:t>Incorrect states are rejected and safely recomputed</w:t>
            </w:r>
          </w:p>
        </w:tc>
      </w:tr>
      <w:tr>
        <w:trPr>
          <w:cantSplit/>
        </w:trPr>
        <w:tc>
          <w:tcPr>
            <w:tcW w:type="dxa" w:w="16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M8 Generalization</w:t>
            </w:r>
          </w:p>
        </w:tc>
        <w:tc>
          <w:tcPr>
            <w:tcW w:type="dxa" w:w="2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Evaluate other models, architectures, hardware, and tasks</w:t>
            </w:r>
          </w:p>
        </w:tc>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Core main line complete</w:t>
            </w:r>
          </w:p>
        </w:tc>
        <w:tc>
          <w:tcPr>
            <w:tcW w:type="dxa" w:w="28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5"/>
              </w:rPr>
              <w:t>General relationships and device-specific conclusions identified</w:t>
            </w:r>
          </w:p>
        </w:tc>
      </w:tr>
    </w:tbl>
    <w:p>
      <w:pPr>
        <w:spacing w:after="0"/>
      </w:pPr>
    </w:p>
    <w:p>
      <w:r>
        <w:br w:type="page"/>
      </w:r>
    </w:p>
    <w:p>
      <w:pPr>
        <w:pStyle w:val="Heading1"/>
      </w:pPr>
      <w:r>
        <w:t>6.1 M1 Must Precede Complex Policies</w:t>
      </w:r>
    </w:p>
    <w:p>
      <w:r>
        <w:rPr>
          <w:rFonts w:ascii="Aptos" w:hAnsi="Aptos"/>
          <w:b w:val="0"/>
          <w:i w:val="0"/>
          <w:color w:val="111827"/>
          <w:sz w:val="20"/>
        </w:rPr>
        <w:t>M1 directly measures GPU hits, DRAM restoration, cold and hot NVMe restoration, and fresh prefill across token lengths, KV byte sizes, and concurrency levels. Its output is a break-even curve, not an assumption that NVMe must be useful. If NVMe is slower than recomputation throughout every feasible region on the current device, the formal result should record that ineffective boundary, and B5 may degrade to a GPU/DRAM/recompute policy.</w:t>
      </w:r>
    </w:p>
    <w:p>
      <w:pPr>
        <w:pStyle w:val="Heading1"/>
      </w:pPr>
      <w:r>
        <w:t>6.2 M6 Ablation Set</w:t>
      </w:r>
    </w:p>
    <w:p>
      <w:pPr>
        <w:pStyle w:val="ListBullet"/>
      </w:pPr>
      <w:r>
        <w:rPr>
          <w:rFonts w:ascii="Aptos" w:hAnsi="Aptos"/>
          <w:b w:val="0"/>
          <w:i w:val="0"/>
          <w:color w:val="111827"/>
          <w:sz w:val="20"/>
        </w:rPr>
        <w:t>No NVMe: determines whether the third tier contributes positive value.</w:t>
      </w:r>
    </w:p>
    <w:p>
      <w:pPr>
        <w:pStyle w:val="ListBullet"/>
      </w:pPr>
      <w:r>
        <w:rPr>
          <w:rFonts w:ascii="Aptos" w:hAnsi="Aptos"/>
          <w:b w:val="0"/>
          <w:i w:val="0"/>
          <w:color w:val="111827"/>
          <w:sz w:val="20"/>
        </w:rPr>
        <w:t>No return-probability predictor: measures the marginal value of prediction.</w:t>
      </w:r>
    </w:p>
    <w:p>
      <w:pPr>
        <w:pStyle w:val="ListBullet"/>
      </w:pPr>
      <w:r>
        <w:rPr>
          <w:rFonts w:ascii="Aptos" w:hAnsi="Aptos"/>
          <w:b w:val="0"/>
          <w:i w:val="0"/>
          <w:color w:val="111827"/>
          <w:sz w:val="20"/>
        </w:rPr>
        <w:t>No value density: replaces it with a conventional capacity/time policy.</w:t>
      </w:r>
    </w:p>
    <w:p>
      <w:pPr>
        <w:pStyle w:val="ListBullet"/>
      </w:pPr>
      <w:r>
        <w:rPr>
          <w:rFonts w:ascii="Aptos" w:hAnsi="Aptos"/>
          <w:b w:val="0"/>
          <w:i w:val="0"/>
          <w:color w:val="111827"/>
          <w:sz w:val="20"/>
        </w:rPr>
        <w:t>No asynchronous migration: measures the contribution of transfer overlap.</w:t>
      </w:r>
    </w:p>
    <w:p>
      <w:pPr>
        <w:pStyle w:val="ListBullet"/>
      </w:pPr>
      <w:r>
        <w:rPr>
          <w:rFonts w:ascii="Aptos" w:hAnsi="Aptos"/>
          <w:b w:val="0"/>
          <w:i w:val="0"/>
          <w:color w:val="111827"/>
          <w:sz w:val="20"/>
        </w:rPr>
        <w:t>No prompt normalization/layout optimization: measures G5's contribution.</w:t>
      </w:r>
    </w:p>
    <w:p>
      <w:pPr>
        <w:pStyle w:val="ListBullet"/>
      </w:pPr>
      <w:r>
        <w:rPr>
          <w:rFonts w:ascii="Aptos" w:hAnsi="Aptos"/>
          <w:b w:val="0"/>
          <w:i w:val="0"/>
          <w:color w:val="111827"/>
          <w:sz w:val="20"/>
        </w:rPr>
        <w:t>LRU replaces the joint policy: compares B5 directly with the strongest simple policy.</w:t>
      </w:r>
    </w:p>
    <w:p>
      <w:pPr>
        <w:pStyle w:val="Heading1"/>
      </w:pPr>
      <w:r>
        <w:t>6.3 Recommended Execution Order</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800"/>
        <w:gridCol w:w="4960"/>
        <w:gridCol w:w="3600"/>
      </w:tblGrid>
      <w:tr>
        <w:trPr>
          <w:tblHeader w:val="true"/>
          <w:cantSplit/>
        </w:trPr>
        <w:tc>
          <w:tcPr>
            <w:tcW w:type="dxa" w:w="8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Step</w:t>
            </w:r>
          </w:p>
        </w:tc>
        <w:tc>
          <w:tcPr>
            <w:tcW w:type="dxa" w:w="49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Action</w:t>
            </w:r>
          </w:p>
        </w:tc>
        <w:tc>
          <w:tcPr>
            <w:tcW w:type="dxa" w:w="36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Gate</w:t>
            </w:r>
          </w:p>
        </w:tc>
      </w:tr>
      <w:tr>
        <w:trPr>
          <w:cantSplit/>
        </w:trPr>
        <w:tc>
          <w:tcPr>
            <w:tcW w:type="dxa" w:w="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1</w:t>
            </w:r>
          </w:p>
        </w:tc>
        <w:tc>
          <w:tcPr>
            <w:tcW w:type="dxa" w:w="49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Conduct a read-only environment inventory</w:t>
            </w:r>
          </w:p>
        </w:tc>
        <w:tc>
          <w:tcPr>
            <w:tcW w:type="dxa" w:w="3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Do not modify drivers or existing environments</w:t>
            </w:r>
          </w:p>
        </w:tc>
      </w:tr>
      <w:tr>
        <w:trPr>
          <w:cantSplit/>
        </w:trPr>
        <w:tc>
          <w:tcPr>
            <w:tcW w:type="dxa" w:w="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2</w:t>
            </w:r>
          </w:p>
        </w:tc>
        <w:tc>
          <w:tcPr>
            <w:tcW w:type="dxa" w:w="49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Create an isolated private experiment repository and environment</w:t>
            </w:r>
          </w:p>
        </w:tc>
        <w:tc>
          <w:tcPr>
            <w:tcW w:type="dxa" w:w="3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Keep it separate from existing projects such as cuSZp</w:t>
            </w:r>
          </w:p>
        </w:tc>
      </w:tr>
      <w:tr>
        <w:trPr>
          <w:cantSplit/>
        </w:trPr>
        <w:tc>
          <w:tcPr>
            <w:tcW w:type="dxa" w:w="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3</w:t>
            </w:r>
          </w:p>
        </w:tc>
        <w:tc>
          <w:tcPr>
            <w:tcW w:type="dxa" w:w="49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Verify minimal model inference and the trace schema</w:t>
            </w:r>
          </w:p>
        </w:tc>
        <w:tc>
          <w:tcPr>
            <w:tcW w:type="dxa" w:w="3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Produces M0</w:t>
            </w:r>
          </w:p>
        </w:tc>
      </w:tr>
      <w:tr>
        <w:trPr>
          <w:cantSplit/>
        </w:trPr>
        <w:tc>
          <w:tcPr>
            <w:tcW w:type="dxa" w:w="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4</w:t>
            </w:r>
          </w:p>
        </w:tc>
        <w:tc>
          <w:tcPr>
            <w:tcW w:type="dxa" w:w="49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Implement B0/B1 and strict correctness validation</w:t>
            </w:r>
          </w:p>
        </w:tc>
        <w:tc>
          <w:tcPr>
            <w:tcW w:type="dxa" w:w="3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Exact token identity</w:t>
            </w:r>
          </w:p>
        </w:tc>
      </w:tr>
      <w:tr>
        <w:trPr>
          <w:cantSplit/>
        </w:trPr>
        <w:tc>
          <w:tcPr>
            <w:tcW w:type="dxa" w:w="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5</w:t>
            </w:r>
          </w:p>
        </w:tc>
        <w:tc>
          <w:tcPr>
            <w:tcW w:type="dxa" w:w="49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Execute M1</w:t>
            </w:r>
          </w:p>
        </w:tc>
        <w:tc>
          <w:tcPr>
            <w:tcW w:type="dxa" w:w="3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Freeze the method for measuring benefit boundaries</w:t>
            </w:r>
          </w:p>
        </w:tc>
      </w:tr>
      <w:tr>
        <w:trPr>
          <w:cantSplit/>
        </w:trPr>
        <w:tc>
          <w:tcPr>
            <w:tcW w:type="dxa" w:w="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6</w:t>
            </w:r>
          </w:p>
        </w:tc>
        <w:tc>
          <w:tcPr>
            <w:tcW w:type="dxa" w:w="49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Implement B2-B4, followed by B5</w:t>
            </w:r>
          </w:p>
        </w:tc>
        <w:tc>
          <w:tcPr>
            <w:tcW w:type="dxa" w:w="3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Retain strong baselines at every step</w:t>
            </w:r>
          </w:p>
        </w:tc>
      </w:tr>
      <w:tr>
        <w:trPr>
          <w:cantSplit/>
        </w:trPr>
        <w:tc>
          <w:tcPr>
            <w:tcW w:type="dxa" w:w="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7</w:t>
            </w:r>
          </w:p>
        </w:tc>
        <w:tc>
          <w:tcPr>
            <w:tcW w:type="dxa" w:w="49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Run W3/W1/W2 Pilots</w:t>
            </w:r>
          </w:p>
        </w:tc>
        <w:tc>
          <w:tcPr>
            <w:tcW w:type="dxa" w:w="3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Select budgets, concurrency, repetitions, and timeouts</w:t>
            </w:r>
          </w:p>
        </w:tc>
      </w:tr>
      <w:tr>
        <w:trPr>
          <w:cantSplit/>
        </w:trPr>
        <w:tc>
          <w:tcPr>
            <w:tcW w:type="dxa" w:w="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8</w:t>
            </w:r>
          </w:p>
        </w:tc>
        <w:tc>
          <w:tcPr>
            <w:tcW w:type="dxa" w:w="49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Freeze Core parameters</w:t>
            </w:r>
          </w:p>
        </w:tc>
        <w:tc>
          <w:tcPr>
            <w:tcW w:type="dxa" w:w="3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Pilot data do not enter Core</w:t>
            </w:r>
          </w:p>
        </w:tc>
      </w:tr>
      <w:tr>
        <w:trPr>
          <w:cantSplit/>
        </w:trPr>
        <w:tc>
          <w:tcPr>
            <w:tcW w:type="dxa" w:w="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9</w:t>
            </w:r>
          </w:p>
        </w:tc>
        <w:tc>
          <w:tcPr>
            <w:tcW w:type="dxa" w:w="49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Execute M2-M7 Core experiments</w:t>
            </w:r>
          </w:p>
        </w:tc>
        <w:tc>
          <w:tcPr>
            <w:tcW w:type="dxa" w:w="3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Paired, randomized, and fully logged</w:t>
            </w:r>
          </w:p>
        </w:tc>
      </w:tr>
      <w:tr>
        <w:trPr>
          <w:cantSplit/>
        </w:trPr>
        <w:tc>
          <w:tcPr>
            <w:tcW w:type="dxa" w:w="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10</w:t>
            </w:r>
          </w:p>
        </w:tc>
        <w:tc>
          <w:tcPr>
            <w:tcW w:type="dxa" w:w="49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Proceed to G6/M8 as resources allow</w:t>
            </w:r>
          </w:p>
        </w:tc>
        <w:tc>
          <w:tcPr>
            <w:tcW w:type="dxa" w:w="3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Must not block the main-line conclusion</w:t>
            </w:r>
          </w:p>
        </w:tc>
      </w:tr>
    </w:tbl>
    <w:p>
      <w:pPr>
        <w:spacing w:after="0"/>
      </w:pPr>
    </w:p>
    <w:p>
      <w:pPr>
        <w:pStyle w:val="Title"/>
      </w:pPr>
      <w:r>
        <w:t>7. Metrics, Correctness, and Statistical Protocol</w:t>
      </w:r>
    </w:p>
    <w:p>
      <w:pPr>
        <w:pStyle w:val="Heading1"/>
      </w:pPr>
      <w:r>
        <w:t>7.1 Primary and Supporting Metrics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350"/>
        <w:gridCol w:w="5060"/>
        <w:gridCol w:w="2950"/>
      </w:tblGrid>
      <w:tr>
        <w:trPr>
          <w:tblHeader w:val="true"/>
          <w:cantSplit/>
        </w:trPr>
        <w:tc>
          <w:tcPr>
            <w:tcW w:type="dxa" w:w="13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Level</w:t>
            </w:r>
          </w:p>
        </w:tc>
        <w:tc>
          <w:tcPr>
            <w:tcW w:type="dxa" w:w="50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Metrics</w:t>
            </w:r>
          </w:p>
        </w:tc>
        <w:tc>
          <w:tcPr>
            <w:tcW w:type="dxa" w:w="29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Purpose</w:t>
            </w:r>
          </w:p>
        </w:tc>
      </w:tr>
      <w:tr>
        <w:trPr>
          <w:cantSplit/>
        </w:trPr>
        <w:tc>
          <w:tcPr>
            <w:tcW w:type="dxa" w:w="1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Hard gates</w:t>
            </w:r>
          </w:p>
        </w:tc>
        <w:tc>
          <w:tcPr>
            <w:tcW w:type="dxa" w:w="5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Cache identity, shape/dtype/checksum, logit tolerance, output tokens, and task correctness</w:t>
            </w:r>
          </w:p>
        </w:tc>
        <w:tc>
          <w:tcPr>
            <w:tcW w:type="dxa" w:w="29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Determines whether a performance result is eligible for analysis</w:t>
            </w:r>
          </w:p>
        </w:tc>
      </w:tr>
      <w:tr>
        <w:trPr>
          <w:cantSplit/>
        </w:trPr>
        <w:tc>
          <w:tcPr>
            <w:tcW w:type="dxa" w:w="13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Primary metrics</w:t>
            </w:r>
          </w:p>
        </w:tc>
        <w:tc>
          <w:tcPr>
            <w:tcW w:type="dxa" w:w="5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Effective token hit rate, P95 TTFT, session completion time, and cost per successful task</w:t>
            </w:r>
          </w:p>
        </w:tc>
        <w:tc>
          <w:tcPr>
            <w:tcW w:type="dxa" w:w="29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Supports RQ2-RQ4</w:t>
            </w:r>
          </w:p>
        </w:tc>
      </w:tr>
      <w:tr>
        <w:trPr>
          <w:cantSplit/>
        </w:trPr>
        <w:tc>
          <w:tcPr>
            <w:tcW w:type="dxa" w:w="13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Supporting metrics</w:t>
            </w:r>
          </w:p>
        </w:tc>
        <w:tc>
          <w:tcPr>
            <w:tcW w:type="dxa" w:w="5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Theoretical/resident hits, P50/P99, prefill savings, transfer bytes/time, fallback rate, GPU utilization, energy, and retries</w:t>
            </w:r>
          </w:p>
        </w:tc>
        <w:tc>
          <w:tcPr>
            <w:tcW w:type="dxa" w:w="29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Explains mechanisms and tail behavior</w:t>
            </w:r>
          </w:p>
        </w:tc>
      </w:tr>
    </w:tbl>
    <w:p>
      <w:pPr>
        <w:spacing w:after="0"/>
      </w:pPr>
    </w:p>
    <w:p>
      <w:pPr>
        <w:pStyle w:val="Heading1"/>
      </w:pPr>
      <w:r>
        <w:t>7.2 Correctness Gates</w:t>
      </w:r>
    </w:p>
    <w:p>
      <w:pPr>
        <w:pStyle w:val="ListBullet"/>
      </w:pPr>
      <w:r>
        <w:rPr>
          <w:rFonts w:ascii="Aptos" w:hAnsi="Aptos"/>
          <w:b w:val="0"/>
          <w:i w:val="0"/>
          <w:color w:val="111827"/>
          <w:sz w:val="20"/>
        </w:rPr>
        <w:t>Input tokens must be identical.</w:t>
      </w:r>
    </w:p>
    <w:p>
      <w:pPr>
        <w:pStyle w:val="ListBullet"/>
      </w:pPr>
      <w:r>
        <w:rPr>
          <w:rFonts w:ascii="Aptos" w:hAnsi="Aptos"/>
          <w:b w:val="0"/>
          <w:i w:val="0"/>
          <w:color w:val="111827"/>
          <w:sz w:val="20"/>
        </w:rPr>
        <w:t>Model, tokenizer, adapter, position/RoPE configuration, dtype, quantization, KV layout, engine, and kernel versions must be compatible.</w:t>
      </w:r>
    </w:p>
    <w:p>
      <w:pPr>
        <w:pStyle w:val="ListBullet"/>
      </w:pPr>
      <w:r>
        <w:rPr>
          <w:rFonts w:ascii="Aptos" w:hAnsi="Aptos"/>
          <w:b w:val="0"/>
          <w:i w:val="0"/>
          <w:color w:val="111827"/>
          <w:sz w:val="20"/>
        </w:rPr>
        <w:t>Cache shape, length, checksum, and atomic-write state must be valid.</w:t>
      </w:r>
    </w:p>
    <w:p>
      <w:pPr>
        <w:pStyle w:val="ListBullet"/>
      </w:pPr>
      <w:r>
        <w:rPr>
          <w:rFonts w:ascii="Aptos" w:hAnsi="Aptos"/>
          <w:b w:val="0"/>
          <w:i w:val="0"/>
          <w:color w:val="111827"/>
          <w:sz w:val="20"/>
        </w:rPr>
        <w:t>Exact-prefix experiments: any output-token mismatch is a hard failure.</w:t>
      </w:r>
    </w:p>
    <w:p>
      <w:pPr>
        <w:pStyle w:val="ListBullet"/>
      </w:pPr>
      <w:r>
        <w:rPr>
          <w:rFonts w:ascii="Aptos" w:hAnsi="Aptos"/>
          <w:b w:val="0"/>
          <w:i w:val="0"/>
          <w:color w:val="111827"/>
          <w:sz w:val="20"/>
        </w:rPr>
        <w:t>Logit or hidden-state comparisons are diagnostic and do not replace the token-level hard gate.</w:t>
      </w:r>
    </w:p>
    <w:p>
      <w:pPr>
        <w:pStyle w:val="ListBullet"/>
      </w:pPr>
      <w:r>
        <w:rPr>
          <w:rFonts w:ascii="Aptos" w:hAnsi="Aptos"/>
          <w:b w:val="0"/>
          <w:i w:val="0"/>
          <w:color w:val="111827"/>
          <w:sz w:val="20"/>
        </w:rPr>
        <w:t>End-to-end experiments must report task tests, success, and retries; text similarity alone is insufficient.</w:t>
      </w:r>
    </w:p>
    <w:p>
      <w:pPr>
        <w:pStyle w:val="ListBullet"/>
      </w:pPr>
      <w:r>
        <w:rPr>
          <w:rFonts w:ascii="Aptos" w:hAnsi="Aptos"/>
          <w:b w:val="0"/>
          <w:i w:val="0"/>
          <w:color w:val="111827"/>
          <w:sz w:val="20"/>
        </w:rPr>
        <w:t>Any run that fails a correctness gate is excluded from performance conclusions.</w:t>
      </w:r>
    </w:p>
    <w:p>
      <w:pPr>
        <w:pStyle w:val="Heading1"/>
      </w:pPr>
      <w:r>
        <w:t>7.3 Pilot and Core</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500"/>
        <w:gridCol w:w="4000"/>
        <w:gridCol w:w="3860"/>
      </w:tblGrid>
      <w:tr>
        <w:trPr>
          <w:tblHeader w:val="true"/>
          <w:cantSplit/>
        </w:trPr>
        <w:tc>
          <w:tcPr>
            <w:tcW w:type="dxa" w:w="1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Phase</w:t>
            </w:r>
          </w:p>
        </w:tc>
        <w:tc>
          <w:tcPr>
            <w:tcW w:type="dxa" w:w="40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May determine</w:t>
            </w:r>
          </w:p>
        </w:tc>
        <w:tc>
          <w:tcPr>
            <w:tcW w:type="dxa" w:w="38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Prohibited</w:t>
            </w:r>
          </w:p>
        </w:tc>
      </w:tr>
      <w:tr>
        <w:trPr>
          <w:cantSplit/>
        </w:trPr>
        <w:tc>
          <w:tcPr>
            <w:tcW w:type="dxa" w:w="1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Pilot</w:t>
            </w:r>
          </w:p>
        </w:tc>
        <w:tc>
          <w:tcPr>
            <w:tcW w:type="dxa" w:w="4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Safe cache capacity, concurrency range, warm-up length, repetitions, timeout, noise, and exception thresholds</w:t>
            </w:r>
          </w:p>
        </w:tc>
        <w:tc>
          <w:tcPr>
            <w:tcW w:type="dxa" w:w="38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Must not be merged with Core or presented as the final effect</w:t>
            </w:r>
          </w:p>
        </w:tc>
      </w:tr>
      <w:tr>
        <w:trPr>
          <w:cantSplit/>
        </w:trPr>
        <w:tc>
          <w:tcPr>
            <w:tcW w:type="dxa" w:w="1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Core</w:t>
            </w:r>
          </w:p>
        </w:tc>
        <w:tc>
          <w:tcPr>
            <w:tcW w:type="dxa" w:w="4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Formal comparisons under frozen parameters</w:t>
            </w:r>
          </w:p>
        </w:tc>
        <w:tc>
          <w:tcPr>
            <w:tcW w:type="dxa" w:w="38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Must not change primary metrics, baselines, timeouts, or exception rules while inspecting results</w:t>
            </w:r>
          </w:p>
        </w:tc>
      </w:tr>
    </w:tbl>
    <w:p>
      <w:pPr>
        <w:spacing w:after="0"/>
      </w:pPr>
    </w:p>
    <w:p>
      <w:pPr>
        <w:pStyle w:val="Heading1"/>
      </w:pPr>
      <w:r>
        <w:t>7.4 Statistical Plan</w:t>
      </w:r>
    </w:p>
    <w:p>
      <w:pPr>
        <w:pStyle w:val="ListBullet"/>
      </w:pPr>
      <w:r>
        <w:rPr>
          <w:rFonts w:ascii="Aptos" w:hAnsi="Aptos"/>
          <w:b w:val="0"/>
          <w:i w:val="0"/>
          <w:color w:val="111827"/>
          <w:sz w:val="20"/>
        </w:rPr>
        <w:t>Use paired comparisons over the same traces for B0-B5; randomize or interleave run order.</w:t>
      </w:r>
    </w:p>
    <w:p>
      <w:pPr>
        <w:pStyle w:val="ListBullet"/>
      </w:pPr>
      <w:r>
        <w:rPr>
          <w:rFonts w:ascii="Aptos" w:hAnsi="Aptos"/>
          <w:b w:val="0"/>
          <w:i w:val="0"/>
          <w:color w:val="111827"/>
          <w:sz w:val="20"/>
        </w:rPr>
        <w:t>Report sample count, repetitions, median, and P95, together with confidence intervals and effect sizes.</w:t>
      </w:r>
    </w:p>
    <w:p>
      <w:pPr>
        <w:pStyle w:val="ListBullet"/>
      </w:pPr>
      <w:r>
        <w:rPr>
          <w:rFonts w:ascii="Aptos" w:hAnsi="Aptos"/>
          <w:b w:val="0"/>
          <w:i w:val="0"/>
          <w:color w:val="111827"/>
          <w:sz w:val="20"/>
        </w:rPr>
        <w:t>Use robust methods appropriate to the distributions of TTFT, completion time, and cost; retain request-level raw results.</w:t>
      </w:r>
    </w:p>
    <w:p>
      <w:pPr>
        <w:pStyle w:val="ListBullet"/>
      </w:pPr>
      <w:r>
        <w:rPr>
          <w:rFonts w:ascii="Aptos" w:hAnsi="Aptos"/>
          <w:b w:val="0"/>
          <w:i w:val="0"/>
          <w:color w:val="111827"/>
          <w:sz w:val="20"/>
        </w:rPr>
        <w:t>Report full hits, partial hits, misses, negative-benefit hits, and fallbacks separately by tier.</w:t>
      </w:r>
    </w:p>
    <w:p>
      <w:pPr>
        <w:pStyle w:val="ListBullet"/>
      </w:pPr>
      <w:r>
        <w:rPr>
          <w:rFonts w:ascii="Aptos" w:hAnsi="Aptos"/>
          <w:b w:val="0"/>
          <w:i w:val="0"/>
          <w:color w:val="111827"/>
          <w:sz w:val="20"/>
        </w:rPr>
        <w:t>Before Core, use Pilot data to freeze the minimum detectable effect and repetition count; do not select slices after the fact.</w:t>
      </w:r>
    </w:p>
    <w:p>
      <w:pPr>
        <w:pStyle w:val="ListBullet"/>
      </w:pPr>
      <w:r>
        <w:rPr>
          <w:rFonts w:ascii="Aptos" w:hAnsi="Aptos"/>
          <w:b w:val="0"/>
          <w:i w:val="0"/>
          <w:color w:val="111827"/>
          <w:sz w:val="20"/>
        </w:rPr>
        <w:t>The earlier 70%, 95%, 90%, and 10% figures remain candidate targets, not achieved results.</w:t>
      </w:r>
    </w:p>
    <w:p>
      <w:pPr>
        <w:pStyle w:val="Title"/>
      </w:pPr>
      <w:r>
        <w:t>8. Security, Isolation, and Exception Handling</w:t>
      </w:r>
    </w:p>
    <w:p>
      <w:pPr>
        <w:pStyle w:val="Heading1"/>
      </w:pPr>
      <w:r>
        <w:t>8.1 Compatibility Keys and Trust Domains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800"/>
        <w:gridCol w:w="7560"/>
      </w:tblGrid>
      <w:tr>
        <w:trPr>
          <w:tblHeader w:val="true"/>
          <w:cantSplit/>
        </w:trPr>
        <w:tc>
          <w:tcPr>
            <w:tcW w:type="dxa" w:w="18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Category</w:t>
            </w:r>
          </w:p>
        </w:tc>
        <w:tc>
          <w:tcPr>
            <w:tcW w:type="dxa" w:w="75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Must bind</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Model identity</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Model name, exact revision, weight hash, and tokenizer hash</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Execution identity</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Engine version, kernel version, attention implementation, and KV layout</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Numerical configuration</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dtype, quantization, layer count, KV heads, and head dimension</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Position semantics</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Position IDs, RoPE/scaling configuration, and prefix-token length</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Extensions</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LoRA, adapter, prompt template, and system-instruction version</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Security domain</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Tenant, project, trust domain, independent salt per domain, and access permissions</w:t>
            </w:r>
          </w:p>
        </w:tc>
      </w:tr>
    </w:tbl>
    <w:p>
      <w:pPr>
        <w:spacing w:after="0"/>
      </w:pPr>
    </w:p>
    <w:p>
      <w:pPr>
        <w:pStyle w:val="Heading1"/>
      </w:pPr>
      <w:r>
        <w:t>8.2 Integrity and Privacy</w:t>
      </w:r>
    </w:p>
    <w:p>
      <w:pPr>
        <w:pStyle w:val="ListBullet"/>
      </w:pPr>
      <w:r>
        <w:rPr>
          <w:rFonts w:ascii="Aptos" w:hAnsi="Aptos"/>
          <w:b w:val="0"/>
          <w:i w:val="0"/>
          <w:color w:val="111827"/>
          <w:sz w:val="20"/>
        </w:rPr>
        <w:t>Use cryptographic hashes for cache keys and an independent salt for each trust domain.</w:t>
      </w:r>
    </w:p>
    <w:p>
      <w:pPr>
        <w:pStyle w:val="ListBullet"/>
      </w:pPr>
      <w:r>
        <w:rPr>
          <w:rFonts w:ascii="Aptos" w:hAnsi="Aptos"/>
          <w:b w:val="0"/>
          <w:i w:val="0"/>
          <w:color w:val="111827"/>
          <w:sz w:val="20"/>
        </w:rPr>
        <w:t>Protect cache files with least-privilege access, checksums, and atomic writes.</w:t>
      </w:r>
    </w:p>
    <w:p>
      <w:pPr>
        <w:pStyle w:val="ListBullet"/>
      </w:pPr>
      <w:r>
        <w:rPr>
          <w:rFonts w:ascii="Aptos" w:hAnsi="Aptos"/>
          <w:b w:val="0"/>
          <w:i w:val="0"/>
          <w:color w:val="111827"/>
          <w:sz w:val="20"/>
        </w:rPr>
        <w:t>Sanitize logs and traces; do not record plaintext that can reconstruct private prompts or stable cross-domain identifiers.</w:t>
      </w:r>
    </w:p>
    <w:p>
      <w:pPr>
        <w:pStyle w:val="ListBullet"/>
      </w:pPr>
      <w:r>
        <w:rPr>
          <w:rFonts w:ascii="Aptos" w:hAnsi="Aptos"/>
          <w:b w:val="0"/>
          <w:i w:val="0"/>
          <w:color w:val="111827"/>
          <w:sz w:val="20"/>
        </w:rPr>
        <w:t>M7 must cover cross-tenant and cross-version access, wrong dtype/layout, truncated files, bit flips, partial writes, and stale indexes.</w:t>
      </w:r>
    </w:p>
    <w:p>
      <w:pPr>
        <w:pStyle w:val="Heading1"/>
      </w:pPr>
      <w:r>
        <w:t>8.3 Exception Classification</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600"/>
        <w:gridCol w:w="4460"/>
        <w:gridCol w:w="3300"/>
      </w:tblGrid>
      <w:tr>
        <w:trPr>
          <w:tblHeader w:val="true"/>
          <w:cantSplit/>
        </w:trPr>
        <w:tc>
          <w:tcPr>
            <w:tcW w:type="dxa" w:w="16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Exception</w:t>
            </w:r>
          </w:p>
        </w:tc>
        <w:tc>
          <w:tcPr>
            <w:tcW w:type="dxa" w:w="44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Handling</w:t>
            </w:r>
          </w:p>
        </w:tc>
        <w:tc>
          <w:tcPr>
            <w:tcW w:type="dxa" w:w="33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How counted</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Normal cache miss</w:t>
            </w:r>
          </w:p>
        </w:tc>
        <w:tc>
          <w:tcPr>
            <w:tcW w:type="dxa" w:w="4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Recompute the current request</w:t>
            </w:r>
          </w:p>
        </w:tc>
        <w:tc>
          <w:tcPr>
            <w:tcW w:type="dxa" w:w="33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Normal system behavior</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Identity/checksum failure</w:t>
            </w:r>
          </w:p>
        </w:tc>
        <w:tc>
          <w:tcPr>
            <w:tcW w:type="dxa" w:w="44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Reject the cache and recompute safely</w:t>
            </w:r>
          </w:p>
        </w:tc>
        <w:tc>
          <w:tcPr>
            <w:tcW w:type="dxa" w:w="33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Fallback and security event</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Method-caused OOM/timeout</w:t>
            </w:r>
          </w:p>
        </w:tc>
        <w:tc>
          <w:tcPr>
            <w:tcW w:type="dxa" w:w="4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Abort or fall back while retaining evidence</w:t>
            </w:r>
          </w:p>
        </w:tc>
        <w:tc>
          <w:tcPr>
            <w:tcW w:type="dxa" w:w="33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Method failure; must not be hidden as invalid</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Driver restart, swap, severe throttling, or external-process interference</w:t>
            </w:r>
          </w:p>
        </w:tc>
        <w:tc>
          <w:tcPr>
            <w:tcW w:type="dxa" w:w="44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Invalidate the entire run batch</w:t>
            </w:r>
          </w:p>
        </w:tc>
        <w:tc>
          <w:tcPr>
            <w:tcW w:type="dxa" w:w="33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Environment invalid; use a new run_id after repair</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Corrupted KV or incorrect hit</w:t>
            </w:r>
          </w:p>
        </w:tc>
        <w:tc>
          <w:tcPr>
            <w:tcW w:type="dxa" w:w="44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Stop the affected experiment immediately and diagnose</w:t>
            </w:r>
          </w:p>
        </w:tc>
        <w:tc>
          <w:tcPr>
            <w:tcW w:type="dxa" w:w="33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Correctness hard failure</w:t>
            </w:r>
          </w:p>
        </w:tc>
      </w:tr>
    </w:tbl>
    <w:p>
      <w:pPr>
        <w:spacing w:after="0"/>
      </w:pPr>
    </w:p>
    <w:p>
      <w:pPr>
        <w:pStyle w:val="Title"/>
      </w:pPr>
      <w:r>
        <w:t>9. Hardware, Software, and Capacity Plan</w:t>
      </w:r>
    </w:p>
    <w:p>
      <w:pPr>
        <w:pStyle w:val="Heading1"/>
      </w:pPr>
      <w:r>
        <w:t>9.1 First-Phase Hardware Boundary</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500"/>
        <w:gridCol w:w="3370"/>
        <w:gridCol w:w="4490"/>
      </w:tblGrid>
      <w:tr>
        <w:trPr>
          <w:tblHeader w:val="true"/>
          <w:cantSplit/>
        </w:trPr>
        <w:tc>
          <w:tcPr>
            <w:tcW w:type="dxa" w:w="1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Resource</w:t>
            </w:r>
          </w:p>
        </w:tc>
        <w:tc>
          <w:tcPr>
            <w:tcW w:type="dxa" w:w="337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Known condition</w:t>
            </w:r>
          </w:p>
        </w:tc>
        <w:tc>
          <w:tcPr>
            <w:tcW w:type="dxa" w:w="449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Stage 1 measurements</w:t>
            </w:r>
          </w:p>
        </w:tc>
      </w:tr>
      <w:tr>
        <w:trPr>
          <w:cantSplit/>
        </w:trPr>
        <w:tc>
          <w:tcPr>
            <w:tcW w:type="dxa" w:w="1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GPU</w:t>
            </w:r>
          </w:p>
        </w:tc>
        <w:tc>
          <w:tcPr>
            <w:tcW w:type="dxa" w:w="337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RTX 5090, 32 GB GDDR7</w:t>
            </w:r>
          </w:p>
        </w:tc>
        <w:tc>
          <w:tcPr>
            <w:tcW w:type="dxa" w:w="449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Driver, usable memory, frequency, power, PCIe, and temperature</w:t>
            </w:r>
          </w:p>
        </w:tc>
      </w:tr>
      <w:tr>
        <w:trPr>
          <w:cantSplit/>
        </w:trPr>
        <w:tc>
          <w:tcPr>
            <w:tcW w:type="dxa" w:w="1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System memory</w:t>
            </w:r>
          </w:p>
        </w:tc>
        <w:tc>
          <w:tcPr>
            <w:tcW w:type="dxa" w:w="337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64 GB</w:t>
            </w:r>
          </w:p>
        </w:tc>
        <w:tc>
          <w:tcPr>
            <w:tcW w:type="dxa" w:w="449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Actually usable memory, NUMA, bandwidth, swap, and page-cache effects</w:t>
            </w:r>
          </w:p>
        </w:tc>
      </w:tr>
      <w:tr>
        <w:trPr>
          <w:cantSplit/>
        </w:trPr>
        <w:tc>
          <w:tcPr>
            <w:tcW w:type="dxa" w:w="1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NVMe</w:t>
            </w:r>
          </w:p>
        </w:tc>
        <w:tc>
          <w:tcPr>
            <w:tcW w:type="dxa" w:w="337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Local device; capacity and model pending audit</w:t>
            </w:r>
          </w:p>
        </w:tc>
        <w:tc>
          <w:tcPr>
            <w:tcW w:type="dxa" w:w="449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File system, free space, sequential/random I/O, small/large blocks, concurrency, and cold/hot P95/P99</w:t>
            </w:r>
          </w:p>
        </w:tc>
      </w:tr>
      <w:tr>
        <w:trPr>
          <w:cantSplit/>
        </w:trPr>
        <w:tc>
          <w:tcPr>
            <w:tcW w:type="dxa" w:w="1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CPU</w:t>
            </w:r>
          </w:p>
        </w:tc>
        <w:tc>
          <w:tcPr>
            <w:tcW w:type="dxa" w:w="337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Pending audit</w:t>
            </w:r>
          </w:p>
        </w:tc>
        <w:tc>
          <w:tcPr>
            <w:tcW w:type="dxa" w:w="449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 core count, memory-copy, integrity-check, and I/O overhead</w:t>
            </w:r>
          </w:p>
        </w:tc>
      </w:tr>
    </w:tbl>
    <w:p>
      <w:pPr>
        <w:spacing w:after="0"/>
      </w:pPr>
    </w:p>
    <w:p>
      <w:r>
        <w:rPr>
          <w:rFonts w:ascii="Aptos" w:hAnsi="Aptos"/>
          <w:b w:val="0"/>
          <w:i w:val="0"/>
          <w:color w:val="111827"/>
          <w:sz w:val="20"/>
        </w:rPr>
        <w:t>An initial DRAM-cache candidate range of roughly 24-40 GB may be considered, but it must not be fixed in advance. Capacity must remain available for Ubuntu, Python, the inference engine, the Agent, tokenizer, analysis, file-system page cache, and I/O buffers. At least roughly 200-300 GB of free NVMe space is recommended; more than 500 GB is more comfortable for long-term retention of several models, traces, and results, but the actual requirement will be set by the environment audit.</w:t>
      </w:r>
    </w:p>
    <w:p>
      <w:pPr>
        <w:pStyle w:val="Heading1"/>
      </w:pPr>
      <w:r>
        <w:t>9.2 Software Stack and Timing</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600"/>
        <w:gridCol w:w="5000"/>
        <w:gridCol w:w="2760"/>
      </w:tblGrid>
      <w:tr>
        <w:trPr>
          <w:tblHeader w:val="true"/>
          <w:cantSplit/>
        </w:trPr>
        <w:tc>
          <w:tcPr>
            <w:tcW w:type="dxa" w:w="16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Technology</w:t>
            </w:r>
          </w:p>
        </w:tc>
        <w:tc>
          <w:tcPr>
            <w:tcW w:type="dxa" w:w="50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Purpose</w:t>
            </w:r>
          </w:p>
        </w:tc>
        <w:tc>
          <w:tcPr>
            <w:tcW w:type="dxa" w:w="27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Required at Stage 1 start</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Python</w:t>
            </w:r>
          </w:p>
        </w:tc>
        <w:tc>
          <w:tcPr>
            <w:tcW w:type="dxa" w:w="5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Inference, traces, policies, experiments, and analysis</w:t>
            </w:r>
          </w:p>
        </w:tc>
        <w:tc>
          <w:tcPr>
            <w:tcW w:type="dxa" w:w="2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Required</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Bash</w:t>
            </w:r>
          </w:p>
        </w:tc>
        <w:tc>
          <w:tcPr>
            <w:tcW w:type="dxa" w:w="5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Read-only checks and launch scripts</w:t>
            </w:r>
          </w:p>
        </w:tc>
        <w:tc>
          <w:tcPr>
            <w:tcW w:type="dxa" w:w="2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Limited use</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YAML/JSON</w:t>
            </w:r>
          </w:p>
        </w:tc>
        <w:tc>
          <w:tcPr>
            <w:tcW w:type="dxa" w:w="5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Configuration, schema, and manifest</w:t>
            </w:r>
          </w:p>
        </w:tc>
        <w:tc>
          <w:tcPr>
            <w:tcW w:type="dxa" w:w="2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Required</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Parquet/PyArrow</w:t>
            </w:r>
          </w:p>
        </w:tc>
        <w:tc>
          <w:tcPr>
            <w:tcW w:type="dxa" w:w="5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Request-level and event-level results</w:t>
            </w:r>
          </w:p>
        </w:tc>
        <w:tc>
          <w:tcPr>
            <w:tcW w:type="dxa" w:w="2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Recommended</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DuckDB/SQL</w:t>
            </w:r>
          </w:p>
        </w:tc>
        <w:tc>
          <w:tcPr>
            <w:tcW w:type="dxa" w:w="5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Queries over large result sets</w:t>
            </w:r>
          </w:p>
        </w:tc>
        <w:tc>
          <w:tcPr>
            <w:tcW w:type="dxa" w:w="2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Recommended</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PyTorch + vLLM</w:t>
            </w:r>
          </w:p>
        </w:tc>
        <w:tc>
          <w:tcPr>
            <w:tcW w:type="dxa" w:w="5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Initial inference and cache baselines</w:t>
            </w:r>
          </w:p>
        </w:tc>
        <w:tc>
          <w:tcPr>
            <w:tcW w:type="dxa" w:w="2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Required</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pytest</w:t>
            </w:r>
          </w:p>
        </w:tc>
        <w:tc>
          <w:tcPr>
            <w:tcW w:type="dxa" w:w="5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Correctness, fault, and regression tests</w:t>
            </w:r>
          </w:p>
        </w:tc>
        <w:tc>
          <w:tcPr>
            <w:tcW w:type="dxa" w:w="2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Required</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C++/CUDA</w:t>
            </w:r>
          </w:p>
        </w:tc>
        <w:tc>
          <w:tcPr>
            <w:tcW w:type="dxa" w:w="5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Deep KV management, kernels, or G6</w:t>
            </w:r>
          </w:p>
        </w:tc>
        <w:tc>
          <w:tcPr>
            <w:tcW w:type="dxa" w:w="2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Later, as needed</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LaTeX/Markdown</w:t>
            </w:r>
          </w:p>
        </w:tc>
        <w:tc>
          <w:tcPr>
            <w:tcW w:type="dxa" w:w="5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Papers and reports</w:t>
            </w:r>
          </w:p>
        </w:tc>
        <w:tc>
          <w:tcPr>
            <w:tcW w:type="dxa" w:w="2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Later</w:t>
            </w:r>
          </w:p>
        </w:tc>
      </w:tr>
    </w:tbl>
    <w:p>
      <w:pPr>
        <w:spacing w:after="0"/>
      </w:pPr>
    </w:p>
    <w:p>
      <w:pPr>
        <w:pStyle w:val="Title"/>
      </w:pPr>
      <w:r>
        <w:t>10. Reproducibility and Repository Rules</w:t>
      </w:r>
    </w:p>
    <w:p>
      <w:pPr>
        <w:pStyle w:val="Heading1"/>
      </w:pPr>
      <w:r>
        <w:t>10.1 Separate Experiment Repository</w:t>
      </w:r>
    </w:p>
    <w:p>
      <w:r>
        <w:rPr>
          <w:rFonts w:ascii="Aptos" w:hAnsi="Aptos"/>
          <w:b w:val="0"/>
          <w:i w:val="0"/>
          <w:color w:val="111827"/>
          <w:sz w:val="20"/>
        </w:rPr>
        <w:t>Stage 1 should use a separate private repository, code-agent-kvcache-experiments, isolated from this research repository and from existing projects such as cuSZp. The research repository stores surveys, decisions, and design documents. The experiment repository stores code, configurations, schemas, lightweight logs, and reproducible result indexes. Large KV files, model weights, secrets, and unsanitized prompts must not enter Git.</w:t>
      </w:r>
    </w:p>
    <w:p>
      <w:pPr>
        <w:pStyle w:val="Heading1"/>
      </w:pPr>
      <w:r>
        <w:t>10.2 Manifest for Every Run</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600"/>
        <w:gridCol w:w="7760"/>
      </w:tblGrid>
      <w:tr>
        <w:trPr>
          <w:tblHeader w:val="true"/>
          <w:cantSplit/>
        </w:trPr>
        <w:tc>
          <w:tcPr>
            <w:tcW w:type="dxa" w:w="16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Field group</w:t>
            </w:r>
          </w:p>
        </w:tc>
        <w:tc>
          <w:tcPr>
            <w:tcW w:type="dxa" w:w="77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Recorded content</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Version</w:t>
            </w:r>
          </w:p>
        </w:tc>
        <w:tc>
          <w:tcPr>
            <w:tcW w:type="dxa" w:w="7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Code commit, dirty-worktree state, configuration hash, and schema version</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w:t>
            </w:r>
          </w:p>
        </w:tc>
        <w:tc>
          <w:tcPr>
            <w:tcW w:type="dxa" w:w="7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 revision, weight/tokenizer hashes, adapter, dtype, and quantization</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Environment</w:t>
            </w:r>
          </w:p>
        </w:tc>
        <w:tc>
          <w:tcPr>
            <w:tcW w:type="dxa" w:w="7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Ubuntu, driver, CUDA, Python, PyTorch, vLLM, and kernel versions</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Hardware</w:t>
            </w:r>
          </w:p>
        </w:tc>
        <w:tc>
          <w:tcPr>
            <w:tcW w:type="dxa" w:w="7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GPU, CPU, memory, NVMe, file system, and PCIe</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Input</w:t>
            </w:r>
          </w:p>
        </w:tc>
        <w:tc>
          <w:tcPr>
            <w:tcW w:type="dxa" w:w="7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Trace ID/hash, task set, request order, and random seed</w:t>
            </w:r>
          </w:p>
        </w:tc>
      </w:tr>
      <w:tr>
        <w:trPr>
          <w:cantSplit/>
        </w:trPr>
        <w:tc>
          <w:tcPr>
            <w:tcW w:type="dxa" w:w="16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Method</w:t>
            </w:r>
          </w:p>
        </w:tc>
        <w:tc>
          <w:tcPr>
            <w:tcW w:type="dxa" w:w="77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B0-B6, parameters, cache budgets, concurrency, warm-up, and Core/Pilot status</w:t>
            </w:r>
          </w:p>
        </w:tc>
      </w:tr>
      <w:tr>
        <w:trPr>
          <w:cantSplit/>
        </w:trPr>
        <w:tc>
          <w:tcPr>
            <w:tcW w:type="dxa" w:w="16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Result</w:t>
            </w:r>
          </w:p>
        </w:tc>
        <w:tc>
          <w:tcPr>
            <w:tcW w:type="dxa" w:w="77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Primary/supporting metrics, correctness, success/failure/invalid reason, and output path</w:t>
            </w:r>
          </w:p>
        </w:tc>
      </w:tr>
    </w:tbl>
    <w:p>
      <w:pPr>
        <w:spacing w:after="0"/>
      </w:pPr>
    </w:p>
    <w:p>
      <w:pPr>
        <w:pStyle w:val="Heading1"/>
      </w:pPr>
      <w:r>
        <w:t>10.3 Never-Overwrite Rule</w:t>
      </w:r>
    </w:p>
    <w:p>
      <w:pPr>
        <w:pStyle w:val="ListBullet"/>
      </w:pPr>
      <w:r>
        <w:rPr>
          <w:rFonts w:ascii="Aptos" w:hAnsi="Aptos"/>
          <w:b w:val="0"/>
          <w:i w:val="0"/>
          <w:color w:val="111827"/>
          <w:sz w:val="20"/>
        </w:rPr>
        <w:t>Generate a unique experiment_run_id for every run.</w:t>
      </w:r>
    </w:p>
    <w:p>
      <w:pPr>
        <w:pStyle w:val="ListBullet"/>
      </w:pPr>
      <w:r>
        <w:rPr>
          <w:rFonts w:ascii="Aptos" w:hAnsi="Aptos"/>
          <w:b w:val="0"/>
          <w:i w:val="0"/>
          <w:color w:val="111827"/>
          <w:sz w:val="20"/>
        </w:rPr>
        <w:t>Do not delete or overwrite failed, invalid, or negative runs; update only their status and reason.</w:t>
      </w:r>
    </w:p>
    <w:p>
      <w:pPr>
        <w:pStyle w:val="ListBullet"/>
      </w:pPr>
      <w:r>
        <w:rPr>
          <w:rFonts w:ascii="Aptos" w:hAnsi="Aptos"/>
          <w:b w:val="0"/>
          <w:i w:val="0"/>
          <w:color w:val="111827"/>
          <w:sz w:val="20"/>
        </w:rPr>
        <w:t>After any fix, create a new run_id; never modify an old result to resemble the original run.</w:t>
      </w:r>
    </w:p>
    <w:p>
      <w:pPr>
        <w:pStyle w:val="ListBullet"/>
      </w:pPr>
      <w:r>
        <w:rPr>
          <w:rFonts w:ascii="Aptos" w:hAnsi="Aptos"/>
          <w:b w:val="0"/>
          <w:i w:val="0"/>
          <w:color w:val="111827"/>
          <w:sz w:val="20"/>
        </w:rPr>
        <w:t>Store raw event logs, derived tables, and figures in separate layers; derived results must be reproducible.</w:t>
      </w:r>
    </w:p>
    <w:p>
      <w:pPr>
        <w:pStyle w:val="ListBullet"/>
      </w:pPr>
      <w:r>
        <w:rPr>
          <w:rFonts w:ascii="Aptos" w:hAnsi="Aptos"/>
          <w:b w:val="0"/>
          <w:i w:val="0"/>
          <w:color w:val="111827"/>
          <w:sz w:val="20"/>
        </w:rPr>
        <w:t>After Core configuration is frozen, archive it by commit and content hash.</w:t>
      </w:r>
    </w:p>
    <w:p>
      <w:pPr>
        <w:pStyle w:val="Title"/>
      </w:pPr>
      <w:r>
        <w:t>11. Stage 1 Admission Checklist</w:t>
      </w:r>
    </w:p>
    <w:p>
      <w:pPr>
        <w:pStyle w:val="Heading1"/>
      </w:pPr>
      <w:r>
        <w:t>11.1 Stage 0 Closure Items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2500"/>
        <w:gridCol w:w="1450"/>
        <w:gridCol w:w="5410"/>
      </w:tblGrid>
      <w:tr>
        <w:trPr>
          <w:tblHeader w:val="true"/>
          <w:cantSplit/>
        </w:trPr>
        <w:tc>
          <w:tcPr>
            <w:tcW w:type="dxa" w:w="2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Admission item</w:t>
            </w:r>
          </w:p>
        </w:tc>
        <w:tc>
          <w:tcPr>
            <w:tcW w:type="dxa" w:w="145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Status</w:t>
            </w:r>
          </w:p>
        </w:tc>
        <w:tc>
          <w:tcPr>
            <w:tcW w:type="dxa" w:w="541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Evidence/action</w:t>
            </w:r>
          </w:p>
        </w:tc>
      </w:tr>
      <w:tr>
        <w:trPr>
          <w:cantSplit/>
        </w:trPr>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0-1 through 0-3 research materials and IEEE survey</w:t>
            </w:r>
          </w:p>
        </w:tc>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Complete</w:t>
            </w:r>
          </w:p>
        </w:tc>
        <w:tc>
          <w:tcPr>
            <w:tcW w:type="dxa" w:w="54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Existing research-repository materials</w:t>
            </w:r>
          </w:p>
        </w:tc>
      </w:tr>
      <w:tr>
        <w:trPr>
          <w:cantSplit/>
        </w:trPr>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0-4 evidence-gap matrix and problem convergence</w:t>
            </w:r>
          </w:p>
        </w:tc>
        <w:tc>
          <w:tcPr>
            <w:tcW w:type="dxa" w:w="14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Complete</w:t>
            </w:r>
          </w:p>
        </w:tc>
        <w:tc>
          <w:tcPr>
            <w:tcW w:type="dxa" w:w="541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Recovered Excel, DOCX, and PDF</w:t>
            </w:r>
          </w:p>
        </w:tc>
      </w:tr>
      <w:tr>
        <w:trPr>
          <w:cantSplit/>
        </w:trPr>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0-5.1 through 0-5.6 experimental predesign</w:t>
            </w:r>
          </w:p>
        </w:tc>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Complete</w:t>
            </w:r>
          </w:p>
        </w:tc>
        <w:tc>
          <w:tcPr>
            <w:tcW w:type="dxa" w:w="54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Body of this report</w:t>
            </w:r>
          </w:p>
        </w:tc>
      </w:tr>
      <w:tr>
        <w:trPr>
          <w:cantSplit/>
        </w:trPr>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0-5.7 final review and hypothesis freeze</w:t>
            </w:r>
          </w:p>
        </w:tc>
        <w:tc>
          <w:tcPr>
            <w:tcW w:type="dxa" w:w="14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Approved</w:t>
            </w:r>
          </w:p>
        </w:tc>
        <w:tc>
          <w:tcPr>
            <w:tcW w:type="dxa" w:w="541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Project-owner confirmation on September 2, 2026</w:t>
            </w:r>
          </w:p>
        </w:tc>
      </w:tr>
      <w:tr>
        <w:trPr>
          <w:cantSplit/>
        </w:trPr>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Complete 0-5 DOCX/PDF</w:t>
            </w:r>
          </w:p>
        </w:tc>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Generated in this cycle</w:t>
            </w:r>
          </w:p>
        </w:tc>
        <w:tc>
          <w:tcPr>
            <w:tcW w:type="dxa" w:w="54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Deliver after page-by-page QA</w:t>
            </w:r>
          </w:p>
        </w:tc>
      </w:tr>
      <w:tr>
        <w:trPr>
          <w:cantSplit/>
        </w:trPr>
        <w:tc>
          <w:tcPr>
            <w:tcW w:type="dxa" w:w="2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Final research-repository organization</w:t>
            </w:r>
          </w:p>
        </w:tc>
        <w:tc>
          <w:tcPr>
            <w:tcW w:type="dxa" w:w="145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Pending report confirmation</w:t>
            </w:r>
          </w:p>
        </w:tc>
        <w:tc>
          <w:tcPr>
            <w:tcW w:type="dxa" w:w="541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Update the single root README and archive the reports</w:t>
            </w:r>
          </w:p>
        </w:tc>
      </w:tr>
      <w:tr>
        <w:trPr>
          <w:cantSplit/>
        </w:trPr>
        <w:tc>
          <w:tcPr>
            <w:tcW w:type="dxa" w:w="2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stage-0-complete tag</w:t>
            </w:r>
          </w:p>
        </w:tc>
        <w:tc>
          <w:tcPr>
            <w:tcW w:type="dxa" w:w="145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Pending repository audit</w:t>
            </w:r>
          </w:p>
        </w:tc>
        <w:tc>
          <w:tcPr>
            <w:tcW w:type="dxa" w:w="541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Create last</w:t>
            </w:r>
          </w:p>
        </w:tc>
      </w:tr>
    </w:tbl>
    <w:p>
      <w:pPr>
        <w:spacing w:after="0"/>
      </w:pPr>
    </w:p>
    <w:p>
      <w:pPr>
        <w:pStyle w:val="Heading1"/>
      </w:pPr>
      <w:r>
        <w:t>11.2 First Read-Only Checks in Stage 1</w:t>
      </w:r>
    </w:p>
    <w:p>
      <w:pPr>
        <w:pStyle w:val="ListBullet"/>
      </w:pPr>
      <w:r>
        <w:rPr>
          <w:rFonts w:ascii="Aptos" w:hAnsi="Aptos"/>
          <w:b w:val="0"/>
          <w:i w:val="0"/>
          <w:color w:val="111827"/>
          <w:sz w:val="20"/>
        </w:rPr>
        <w:t>Exact Ubuntu version; NVIDIA driver; CUDA; Python.</w:t>
      </w:r>
    </w:p>
    <w:p>
      <w:pPr>
        <w:pStyle w:val="ListBullet"/>
      </w:pPr>
      <w:r>
        <w:rPr>
          <w:rFonts w:ascii="Aptos" w:hAnsi="Aptos"/>
          <w:b w:val="0"/>
          <w:i w:val="0"/>
          <w:color w:val="111827"/>
          <w:sz w:val="20"/>
        </w:rPr>
        <w:t>RTX 5090 recognition, memory, and health; actually available portion of 64 GB system memory; swap.</w:t>
      </w:r>
    </w:p>
    <w:p>
      <w:pPr>
        <w:pStyle w:val="ListBullet"/>
      </w:pPr>
      <w:r>
        <w:rPr>
          <w:rFonts w:ascii="Aptos" w:hAnsi="Aptos"/>
          <w:b w:val="0"/>
          <w:i w:val="0"/>
          <w:color w:val="111827"/>
          <w:sz w:val="20"/>
        </w:rPr>
        <w:t>NVMe model, file system, mount, free space, and basic I/O.</w:t>
      </w:r>
    </w:p>
    <w:p>
      <w:pPr>
        <w:pStyle w:val="ListBullet"/>
      </w:pPr>
      <w:r>
        <w:rPr>
          <w:rFonts w:ascii="Aptos" w:hAnsi="Aptos"/>
          <w:b w:val="0"/>
          <w:i w:val="0"/>
          <w:color w:val="111827"/>
          <w:sz w:val="20"/>
        </w:rPr>
        <w:t>Docker, PyTorch, vLLM, and existing virtual environments.</w:t>
      </w:r>
    </w:p>
    <w:p>
      <w:pPr>
        <w:pStyle w:val="ListBullet"/>
      </w:pPr>
      <w:r>
        <w:rPr>
          <w:rFonts w:ascii="Aptos" w:hAnsi="Aptos"/>
          <w:b w:val="0"/>
          <w:i w:val="0"/>
          <w:color w:val="111827"/>
          <w:sz w:val="20"/>
        </w:rPr>
        <w:t>Locations and isolation requirements of existing projects such as cuSZp.</w:t>
      </w:r>
    </w:p>
    <w:tbl>
      <w:tblPr>
        <w:tblW w:type="dxa" w:w="9360"/>
        <w:jc w:val="left"/>
        <w:tblLayout w:type="fixed"/>
        <w:tblLook w:firstColumn="1" w:firstRow="1" w:lastColumn="0" w:lastRow="0" w:noHBand="0" w:noVBand="1" w:val="04A0"/>
        <w:tblInd w:w="120" w:type="dxa"/>
        <w:tblBorders>
          <w:top w:val="single" w:sz="8" w:color="A33A3A"/>
          <w:left w:val="single" w:sz="8" w:color="A33A3A"/>
          <w:bottom w:val="single" w:sz="8" w:color="A33A3A"/>
          <w:right w:val="single" w:sz="8" w:color="A33A3A"/>
          <w:insideH w:val="single" w:sz="8" w:color="A33A3A"/>
          <w:insideV w:val="single" w:sz="8" w:color="A33A3A"/>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A33A3A"/>
                <w:sz w:val="19"/>
              </w:rPr>
              <w:t xml:space="preserve">Admission restriction  </w:t>
            </w:r>
            <w:r>
              <w:rPr>
                <w:rFonts w:ascii="Aptos" w:hAnsi="Aptos"/>
                <w:b w:val="0"/>
                <w:i w:val="0"/>
                <w:color w:val="111827"/>
                <w:sz w:val="19"/>
              </w:rPr>
              <w:t>Before the read-only inventory is complete: do not install software, upgrade drivers, modify an existing Python environment, run formal performance experiments, or create/overwrite existing project directories.</w:t>
            </w:r>
          </w:p>
        </w:tc>
      </w:tr>
    </w:tbl>
    <w:p>
      <w:pPr>
        <w:spacing w:after="0"/>
      </w:pPr>
    </w:p>
    <w:p>
      <w:pPr>
        <w:pStyle w:val="Heading1"/>
      </w:pPr>
      <w:r>
        <w:t>11.3 Parameters That Do Not Block Stage 0</w:t>
      </w:r>
    </w:p>
    <w:p>
      <w:pPr>
        <w:pStyle w:val="ListBullet"/>
      </w:pPr>
      <w:r>
        <w:rPr>
          <w:rFonts w:ascii="Aptos" w:hAnsi="Aptos"/>
          <w:b w:val="0"/>
          <w:i w:val="0"/>
          <w:color w:val="111827"/>
          <w:sz w:val="20"/>
        </w:rPr>
        <w:t>Exact model revision and PyTorch/CUDA/vLLM version combination.</w:t>
      </w:r>
    </w:p>
    <w:p>
      <w:pPr>
        <w:pStyle w:val="ListBullet"/>
      </w:pPr>
      <w:r>
        <w:rPr>
          <w:rFonts w:ascii="Aptos" w:hAnsi="Aptos"/>
          <w:b w:val="0"/>
          <w:i w:val="0"/>
          <w:color w:val="111827"/>
          <w:sz w:val="20"/>
        </w:rPr>
        <w:t>DRAM and NVMe cache capacity, KV block size, and concurrency.</w:t>
      </w:r>
    </w:p>
    <w:p>
      <w:pPr>
        <w:pStyle w:val="ListBullet"/>
      </w:pPr>
      <w:r>
        <w:rPr>
          <w:rFonts w:ascii="Aptos" w:hAnsi="Aptos"/>
          <w:b w:val="0"/>
          <w:i w:val="0"/>
          <w:color w:val="111827"/>
          <w:sz w:val="20"/>
        </w:rPr>
        <w:t>Warm-up, repetitions, timeouts, and minimum detectable effect.</w:t>
      </w:r>
    </w:p>
    <w:p>
      <w:pPr>
        <w:pStyle w:val="ListBullet"/>
      </w:pPr>
      <w:r>
        <w:rPr>
          <w:rFonts w:ascii="Aptos" w:hAnsi="Aptos"/>
          <w:b w:val="0"/>
          <w:i w:val="0"/>
          <w:color w:val="111827"/>
          <w:sz w:val="20"/>
        </w:rPr>
        <w:t>Actual NVMe benefit boundary and whether B6 will use a paid API.</w:t>
      </w:r>
    </w:p>
    <w:p>
      <w:pPr>
        <w:pStyle w:val="ListBullet"/>
      </w:pPr>
      <w:r>
        <w:rPr>
          <w:rFonts w:ascii="Aptos" w:hAnsi="Aptos"/>
          <w:b w:val="0"/>
          <w:i w:val="0"/>
          <w:color w:val="111827"/>
          <w:sz w:val="20"/>
        </w:rPr>
        <w:t>Availability of HBM servers, other GPUs, or multi-node resources.</w:t>
      </w:r>
    </w:p>
    <w:p>
      <w:pPr>
        <w:pStyle w:val="Title"/>
      </w:pPr>
      <w:r>
        <w:t>12. Risks, Stop Conditions, and Decision Gates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2000"/>
        <w:gridCol w:w="4020"/>
        <w:gridCol w:w="3340"/>
      </w:tblGrid>
      <w:tr>
        <w:trPr>
          <w:tblHeader w:val="true"/>
          <w:cantSplit/>
        </w:trPr>
        <w:tc>
          <w:tcPr>
            <w:tcW w:type="dxa" w:w="20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Risk/observation</w:t>
            </w:r>
          </w:p>
        </w:tc>
        <w:tc>
          <w:tcPr>
            <w:tcW w:type="dxa" w:w="402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Mandatory action</w:t>
            </w:r>
          </w:p>
        </w:tc>
        <w:tc>
          <w:tcPr>
            <w:tcW w:type="dxa" w:w="334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Effect on the research conclusion</w:t>
            </w:r>
          </w:p>
        </w:tc>
      </w:tr>
      <w:tr>
        <w:trPr>
          <w:cantSplit/>
        </w:trPr>
        <w:tc>
          <w:tcPr>
            <w:tcW w:type="dxa" w:w="2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Exact-prefix output mismatch</w:t>
            </w:r>
          </w:p>
        </w:tc>
        <w:tc>
          <w:tcPr>
            <w:tcW w:type="dxa" w:w="40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Stop performance analysis and repair identity/restoration logic</w:t>
            </w:r>
          </w:p>
        </w:tc>
        <w:tc>
          <w:tcPr>
            <w:tcW w:type="dxa" w:w="3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The main line has not passed correctness</w:t>
            </w:r>
          </w:p>
        </w:tc>
      </w:tr>
      <w:tr>
        <w:trPr>
          <w:cantSplit/>
        </w:trPr>
        <w:tc>
          <w:tcPr>
            <w:tcW w:type="dxa" w:w="2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B1 matches or beats B5 on primary workloads</w:t>
            </w:r>
          </w:p>
        </w:tc>
        <w:tc>
          <w:tcPr>
            <w:tcW w:type="dxa" w:w="40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Retain the negative result and reassess B5 complexity</w:t>
            </w:r>
          </w:p>
        </w:tc>
        <w:tc>
          <w:tcPr>
            <w:tcW w:type="dxa" w:w="33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H3 may be falsified</w:t>
            </w:r>
          </w:p>
        </w:tc>
      </w:tr>
      <w:tr>
        <w:trPr>
          <w:cantSplit/>
        </w:trPr>
        <w:tc>
          <w:tcPr>
            <w:tcW w:type="dxa" w:w="2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NVMe is slower than recomputation everywhere</w:t>
            </w:r>
          </w:p>
        </w:tc>
        <w:tc>
          <w:tcPr>
            <w:tcW w:type="dxa" w:w="40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Mark the no-benefit region and allow policy degradation</w:t>
            </w:r>
          </w:p>
        </w:tc>
        <w:tc>
          <w:tcPr>
            <w:tcW w:type="dxa" w:w="3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H4 is partly falsified or its boundary is clarified</w:t>
            </w:r>
          </w:p>
        </w:tc>
      </w:tr>
      <w:tr>
        <w:trPr>
          <w:cantSplit/>
        </w:trPr>
        <w:tc>
          <w:tcPr>
            <w:tcW w:type="dxa" w:w="2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Prompt layout reduces task quality</w:t>
            </w:r>
          </w:p>
        </w:tc>
        <w:tc>
          <w:tcPr>
            <w:tcW w:type="dxa" w:w="40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Stop the G5 modification</w:t>
            </w:r>
          </w:p>
        </w:tc>
        <w:tc>
          <w:tcPr>
            <w:tcW w:type="dxa" w:w="33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H5 is falsified</w:t>
            </w:r>
          </w:p>
        </w:tc>
      </w:tr>
      <w:tr>
        <w:trPr>
          <w:cantSplit/>
        </w:trPr>
        <w:tc>
          <w:tcPr>
            <w:tcW w:type="dxa" w:w="2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G6 cannot preserve both correctness and benefit</w:t>
            </w:r>
          </w:p>
        </w:tc>
        <w:tc>
          <w:tcPr>
            <w:tcW w:type="dxa" w:w="40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Terminate G6 without affecting the exact-prefix main line</w:t>
            </w:r>
          </w:p>
        </w:tc>
        <w:tc>
          <w:tcPr>
            <w:tcW w:type="dxa" w:w="3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H6 is falsified</w:t>
            </w:r>
          </w:p>
        </w:tc>
      </w:tr>
      <w:tr>
        <w:trPr>
          <w:cantSplit/>
        </w:trPr>
        <w:tc>
          <w:tcPr>
            <w:tcW w:type="dxa" w:w="20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Single-node results do not reproduce across devices</w:t>
            </w:r>
          </w:p>
        </w:tc>
        <w:tc>
          <w:tcPr>
            <w:tcW w:type="dxa" w:w="402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State device-specific conclusions explicitly</w:t>
            </w:r>
          </w:p>
        </w:tc>
        <w:tc>
          <w:tcPr>
            <w:tcW w:type="dxa" w:w="334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H8 is limited or falsified</w:t>
            </w:r>
          </w:p>
        </w:tc>
      </w:tr>
      <w:tr>
        <w:trPr>
          <w:cantSplit/>
        </w:trPr>
        <w:tc>
          <w:tcPr>
            <w:tcW w:type="dxa" w:w="20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Insufficient time or budget</w:t>
            </w:r>
          </w:p>
        </w:tc>
        <w:tc>
          <w:tcPr>
            <w:tcW w:type="dxa" w:w="402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Prioritize the minimum M0-M7 main-line evidence loop</w:t>
            </w:r>
          </w:p>
        </w:tc>
        <w:tc>
          <w:tcPr>
            <w:tcW w:type="dxa" w:w="334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Defer G6/G8</w:t>
            </w:r>
          </w:p>
        </w:tc>
      </w:tr>
    </w:tbl>
    <w:p>
      <w:pPr>
        <w:spacing w:after="0"/>
      </w:pPr>
    </w:p>
    <w:p>
      <w:pPr>
        <w:pStyle w:val="Heading1"/>
      </w:pPr>
      <w:r>
        <w:t>12.1 Stage 1 Entry Decision</w:t>
      </w:r>
    </w:p>
    <w:p>
      <w:r>
        <w:rPr>
          <w:rFonts w:ascii="Aptos" w:hAnsi="Aptos"/>
          <w:b w:val="0"/>
          <w:i w:val="0"/>
          <w:color w:val="111827"/>
          <w:sz w:val="20"/>
        </w:rPr>
        <w:t>Stage 0 closes only after this report passes visual QA, is archived in the research repository, and the stage-0-complete tag is created. Stage 1 then begins with the read-only environment audit. Model, framework, and cache parameters remain undecided until that audit and the Pilot; approval of this report does not authorize installation, upgrades, or experiments automatically.</w:t>
      </w:r>
    </w:p>
    <w:p>
      <w:pPr>
        <w:pStyle w:val="Title"/>
      </w:pPr>
      <w:r>
        <w:t>13. Final 0-5.7 Freeze Decision</w:t>
      </w:r>
    </w:p>
    <w:tbl>
      <w:tblPr>
        <w:tblW w:type="dxa" w:w="9360"/>
        <w:jc w:val="left"/>
        <w:tblLayout w:type="fixed"/>
        <w:tblLook w:firstColumn="1" w:firstRow="1" w:lastColumn="0" w:lastRow="0" w:noHBand="0" w:noVBand="1" w:val="04A0"/>
        <w:tblInd w:w="120" w:type="dxa"/>
        <w:tblBorders>
          <w:top w:val="single" w:sz="8" w:color="2F6B4F"/>
          <w:left w:val="single" w:sz="8" w:color="2F6B4F"/>
          <w:bottom w:val="single" w:sz="8" w:color="2F6B4F"/>
          <w:right w:val="single" w:sz="8" w:color="2F6B4F"/>
          <w:insideH w:val="single" w:sz="8" w:color="2F6B4F"/>
          <w:insideV w:val="single" w:sz="8" w:color="2F6B4F"/>
        </w:tblBorders>
      </w:tblPr>
      <w:tblGrid>
        <w:gridCol w:w="9360"/>
      </w:tblGrid>
      <w:tr>
        <w:trPr>
          <w:cantSplit/>
        </w:trPr>
        <w:tc>
          <w:tcPr>
            <w:tcW w:type="dxa" w:w="9360"/>
            <w:tcMar>
              <w:top w:w="90" w:type="dxa"/>
              <w:start w:w="120" w:type="dxa"/>
              <w:bottom w:w="90" w:type="dxa"/>
              <w:end w:w="120" w:type="dxa"/>
            </w:tcMar>
            <w:shd w:fill="EEF6F4"/>
          </w:tcPr>
          <w:p>
            <w:pPr>
              <w:spacing w:after="0"/>
            </w:pPr>
            <w:r>
              <w:rPr>
                <w:rFonts w:ascii="Aptos" w:hAnsi="Aptos"/>
                <w:b/>
                <w:i w:val="0"/>
                <w:color w:val="2F6B4F"/>
                <w:sz w:val="19"/>
              </w:rPr>
              <w:t xml:space="preserve">Formal decision  </w:t>
            </w:r>
            <w:r>
              <w:rPr>
                <w:rFonts w:ascii="Aptos" w:hAnsi="Aptos"/>
                <w:b w:val="0"/>
                <w:i w:val="0"/>
                <w:color w:val="111827"/>
                <w:sz w:val="19"/>
              </w:rPr>
              <w:t>Approve 0-5.7. Freeze RQ1-RQ5, G1-G8, H1-H8, W1-W3, R1-R3, B0-B6, M0-M8, the core metrics, correctness gates, statistical rules, security boundaries, and repository-isolation plan.</w:t>
            </w:r>
          </w:p>
        </w:tc>
      </w:tr>
    </w:tbl>
    <w:p>
      <w:pPr>
        <w:spacing w:after="0"/>
      </w:pPr>
    </w:p>
    <w:p>
      <w:r>
        <w:rPr>
          <w:rFonts w:ascii="Aptos" w:hAnsi="Aptos"/>
          <w:b w:val="0"/>
          <w:i w:val="0"/>
          <w:color w:val="111827"/>
          <w:sz w:val="20"/>
        </w:rPr>
        <w:t>The Stage 0 technical design now forms a complete evidence loop, while project status remains pending report archival and repository closure. This report does not claim that any performance target has been achieved, and it does not prematurely freeze parameters that require a Stage 1 environment audit or Pilot measurements.</w:t>
      </w:r>
    </w:p>
    <w:p>
      <w:pPr>
        <w:pStyle w:val="Title"/>
      </w:pPr>
      <w:r>
        <w:t>Appendix A: Index of Frozen Objects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800"/>
        <w:gridCol w:w="4500"/>
        <w:gridCol w:w="3060"/>
      </w:tblGrid>
      <w:tr>
        <w:trPr>
          <w:tblHeader w:val="true"/>
          <w:cantSplit/>
        </w:trPr>
        <w:tc>
          <w:tcPr>
            <w:tcW w:type="dxa" w:w="18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Object</w:t>
            </w:r>
          </w:p>
        </w:tc>
        <w:tc>
          <w:tcPr>
            <w:tcW w:type="dxa" w:w="45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Scope</w:t>
            </w:r>
          </w:p>
        </w:tc>
        <w:tc>
          <w:tcPr>
            <w:tcW w:type="dxa" w:w="30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Location</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RQ</w:t>
            </w:r>
          </w:p>
        </w:tc>
        <w:tc>
          <w:tcPr>
            <w:tcW w:type="dxa" w:w="4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RQ1-RQ5</w:t>
            </w:r>
          </w:p>
        </w:tc>
        <w:tc>
          <w:tcPr>
            <w:tcW w:type="dxa" w:w="3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Section 2.1</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G</w:t>
            </w:r>
          </w:p>
        </w:tc>
        <w:tc>
          <w:tcPr>
            <w:tcW w:type="dxa" w:w="4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G1-G8</w:t>
            </w:r>
          </w:p>
        </w:tc>
        <w:tc>
          <w:tcPr>
            <w:tcW w:type="dxa" w:w="3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Section 2.2</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H</w:t>
            </w:r>
          </w:p>
        </w:tc>
        <w:tc>
          <w:tcPr>
            <w:tcW w:type="dxa" w:w="4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H1-H8</w:t>
            </w:r>
          </w:p>
        </w:tc>
        <w:tc>
          <w:tcPr>
            <w:tcW w:type="dxa" w:w="3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Section 2.3</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Workloads</w:t>
            </w:r>
          </w:p>
        </w:tc>
        <w:tc>
          <w:tcPr>
            <w:tcW w:type="dxa" w:w="4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W1-W3</w:t>
            </w:r>
          </w:p>
        </w:tc>
        <w:tc>
          <w:tcPr>
            <w:tcW w:type="dxa" w:w="3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Section 4.1</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Replay</w:t>
            </w:r>
          </w:p>
        </w:tc>
        <w:tc>
          <w:tcPr>
            <w:tcW w:type="dxa" w:w="4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R1-R3</w:t>
            </w:r>
          </w:p>
        </w:tc>
        <w:tc>
          <w:tcPr>
            <w:tcW w:type="dxa" w:w="3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Section 4.2</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Baselines</w:t>
            </w:r>
          </w:p>
        </w:tc>
        <w:tc>
          <w:tcPr>
            <w:tcW w:type="dxa" w:w="4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B0-B6</w:t>
            </w:r>
          </w:p>
        </w:tc>
        <w:tc>
          <w:tcPr>
            <w:tcW w:type="dxa" w:w="3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Section 5</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Experiments</w:t>
            </w:r>
          </w:p>
        </w:tc>
        <w:tc>
          <w:tcPr>
            <w:tcW w:type="dxa" w:w="4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M0-M8</w:t>
            </w:r>
          </w:p>
        </w:tc>
        <w:tc>
          <w:tcPr>
            <w:tcW w:type="dxa" w:w="3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Section 6</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Metrics/statistics</w:t>
            </w:r>
          </w:p>
        </w:tc>
        <w:tc>
          <w:tcPr>
            <w:tcW w:type="dxa" w:w="4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Primary metrics, gates, and Pilot/Core</w:t>
            </w:r>
          </w:p>
        </w:tc>
        <w:tc>
          <w:tcPr>
            <w:tcW w:type="dxa" w:w="3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Section 7</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Security</w:t>
            </w:r>
          </w:p>
        </w:tc>
        <w:tc>
          <w:tcPr>
            <w:tcW w:type="dxa" w:w="45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Compatibility keys, integrity, and exceptions</w:t>
            </w:r>
          </w:p>
        </w:tc>
        <w:tc>
          <w:tcPr>
            <w:tcW w:type="dxa" w:w="30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7"/>
              </w:rPr>
              <w:t>Section 8</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Admission</w:t>
            </w:r>
          </w:p>
        </w:tc>
        <w:tc>
          <w:tcPr>
            <w:tcW w:type="dxa" w:w="45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Stage 0 closure and Stage 1 checks</w:t>
            </w:r>
          </w:p>
        </w:tc>
        <w:tc>
          <w:tcPr>
            <w:tcW w:type="dxa" w:w="30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7"/>
              </w:rPr>
              <w:t>Section 11</w:t>
            </w:r>
          </w:p>
        </w:tc>
      </w:tr>
    </w:tbl>
    <w:p>
      <w:pPr>
        <w:spacing w:after="0"/>
      </w:pPr>
    </w:p>
    <w:p>
      <w:pPr>
        <w:pStyle w:val="Title"/>
      </w:pPr>
      <w:r>
        <w:t>Appendix B: Candidate Configuration Skeleton (Non-Frozen Values)</w:t>
      </w:r>
    </w:p>
    <w:p>
      <w:r>
        <w:rPr>
          <w:rFonts w:ascii="Aptos" w:hAnsi="Aptos"/>
          <w:b w:val="0"/>
          <w:i w:val="0"/>
          <w:color w:val="111827"/>
          <w:sz w:val="20"/>
        </w:rPr>
        <w:t>This skeleton exists only to keep Stage 1 configuration files complete. Values in angle brackets must be supplied by the environment audit or Pilot and must not be adopted directly as formal parameters.</w:t>
      </w:r>
    </w:p>
    <w:tbl>
      <w:tblPr>
        <w:tblW w:type="dxa" w:w="9360"/>
        <w:jc w:val="left"/>
        <w:tblLayout w:type="fixed"/>
        <w:tblLook w:firstColumn="1" w:firstRow="1" w:lastColumn="0" w:lastRow="0" w:noHBand="0" w:noVBand="1" w:val="04A0"/>
        <w:tblInd w:w="120" w:type="dxa"/>
        <w:tblBorders>
          <w:top w:val="single" w:sz="4" w:color="C8D2DF"/>
          <w:left w:val="single" w:sz="4" w:color="C8D2DF"/>
          <w:bottom w:val="single" w:sz="4" w:color="C8D2DF"/>
          <w:right w:val="single" w:sz="4" w:color="C8D2DF"/>
          <w:insideH w:val="single" w:sz="4" w:color="C8D2DF"/>
          <w:insideV w:val="single" w:sz="4" w:color="C8D2DF"/>
        </w:tblBorders>
      </w:tblPr>
      <w:tblGrid>
        <w:gridCol w:w="1800"/>
        <w:gridCol w:w="7560"/>
      </w:tblGrid>
      <w:tr>
        <w:trPr>
          <w:tblHeader w:val="true"/>
          <w:cantSplit/>
        </w:trPr>
        <w:tc>
          <w:tcPr>
            <w:tcW w:type="dxa" w:w="180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Configuration group</w:t>
            </w:r>
          </w:p>
        </w:tc>
        <w:tc>
          <w:tcPr>
            <w:tcW w:type="dxa" w:w="7560"/>
            <w:vAlign w:val="center"/>
            <w:shd w:fill="17365D"/>
            <w:tcMar>
              <w:top w:w="90" w:type="dxa"/>
              <w:start w:w="120" w:type="dxa"/>
              <w:bottom w:w="90" w:type="dxa"/>
              <w:end w:w="120" w:type="dxa"/>
            </w:tcMar>
          </w:tcPr>
          <w:p>
            <w:pPr>
              <w:spacing w:after="0" w:line="252" w:lineRule="auto"/>
              <w:jc w:val="left"/>
            </w:pPr>
            <w:r/>
            <w:r>
              <w:rPr>
                <w:rFonts w:ascii="Aptos" w:hAnsi="Aptos"/>
                <w:b/>
                <w:i w:val="0"/>
                <w:color w:val="FFFFFF"/>
                <w:sz w:val="17"/>
              </w:rPr>
              <w:t>Example fields</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run</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experiment_run_id, phase: &lt;pilot|core&gt;, seed, repetitions</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model_id, revision, tokenizer_hash, dtype, quantization</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engine</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vllm_version, block_size, max_model_len, attention_backend</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workload</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W1|W2|W3, R1|R2|R3, trace_hash, concurrency</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cache</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baseline B0-B5, gpu_budget, dram_budget, nvme_budget, ttl/predictor/value settings</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measurement</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warmup, timeout, clock source, power sample interval, cold/hot NVMe mode</w:t>
            </w:r>
          </w:p>
        </w:tc>
      </w:tr>
      <w:tr>
        <w:trPr>
          <w:cantSplit/>
        </w:trPr>
        <w:tc>
          <w:tcPr>
            <w:tcW w:type="dxa" w:w="180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correctness</w:t>
            </w:r>
          </w:p>
        </w:tc>
        <w:tc>
          <w:tcPr>
            <w:tcW w:type="dxa" w:w="7560"/>
            <w:vAlign w:val="center"/>
            <w:shd w:fill="FFFFFF"/>
            <w:tcMar>
              <w:top w:w="90" w:type="dxa"/>
              <w:start w:w="120" w:type="dxa"/>
              <w:bottom w:w="90" w:type="dxa"/>
              <w:end w:w="120" w:type="dxa"/>
            </w:tcMar>
          </w:tcPr>
          <w:p>
            <w:pPr>
              <w:spacing w:after="0" w:line="252" w:lineRule="auto"/>
              <w:jc w:val="left"/>
            </w:pPr>
            <w:r/>
            <w:r>
              <w:rPr>
                <w:rFonts w:ascii="Aptos" w:hAnsi="Aptos"/>
                <w:b w:val="0"/>
                <w:i w:val="0"/>
                <w:color w:val="111827"/>
                <w:sz w:val="16"/>
              </w:rPr>
              <w:t>token_exact, logit_tolerance, checksum, task_success_policy</w:t>
            </w:r>
          </w:p>
        </w:tc>
      </w:tr>
      <w:tr>
        <w:trPr>
          <w:cantSplit/>
        </w:trPr>
        <w:tc>
          <w:tcPr>
            <w:tcW w:type="dxa" w:w="180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output</w:t>
            </w:r>
          </w:p>
        </w:tc>
        <w:tc>
          <w:tcPr>
            <w:tcW w:type="dxa" w:w="7560"/>
            <w:vAlign w:val="center"/>
            <w:shd w:fill="F4F7FA"/>
            <w:tcMar>
              <w:top w:w="90" w:type="dxa"/>
              <w:start w:w="120" w:type="dxa"/>
              <w:bottom w:w="90" w:type="dxa"/>
              <w:end w:w="120" w:type="dxa"/>
            </w:tcMar>
          </w:tcPr>
          <w:p>
            <w:pPr>
              <w:spacing w:after="0" w:line="252" w:lineRule="auto"/>
              <w:jc w:val="left"/>
            </w:pPr>
            <w:r/>
            <w:r>
              <w:rPr>
                <w:rFonts w:ascii="Aptos" w:hAnsi="Aptos"/>
                <w:b w:val="0"/>
                <w:i w:val="0"/>
                <w:color w:val="111827"/>
                <w:sz w:val="16"/>
              </w:rPr>
              <w:t>manifest, event_log, request_table, summary, invalid_reason</w:t>
            </w:r>
          </w:p>
        </w:tc>
      </w:tr>
    </w:tbl>
    <w:p>
      <w:pPr>
        <w:spacing w:after="0"/>
      </w:pPr>
    </w:p>
    <w:p>
      <w:pPr>
        <w:pStyle w:val="Title"/>
      </w:pPr>
      <w:r>
        <w:t>Appendix C: Relationship to Stage 0-4 Outputs</w:t>
      </w:r>
    </w:p>
    <w:p>
      <w:r>
        <w:rPr>
          <w:rFonts w:ascii="Aptos" w:hAnsi="Aptos"/>
          <w:b w:val="0"/>
          <w:i w:val="0"/>
          <w:color w:val="111827"/>
          <w:sz w:val="20"/>
        </w:rPr>
        <w:t>The 0-4 report identified evidence gaps, scored candidate directions, and converged the research questions. Stage 0-5 expands those conclusions into workloads, replay modes, baselines, an experiment matrix, metrics, and an admission protocol. The 0-4 evidence matrix remains the primary index of external research evidence. This report therefore does not repeat the full 91-entry literature table and instead cites its converged conclusions. If directly competing work appears later, the evidence matrix should be updated before deciding whether a controlled revision of this report is necessary.</w:t>
      </w:r>
    </w:p>
    <w:p>
      <w:pPr>
        <w:pStyle w:val="Title"/>
      </w:pPr>
      <w:r>
        <w:t>Appendix D: Principal References</w:t>
      </w:r>
    </w:p>
    <w:p>
      <w:pPr>
        <w:spacing w:after="80"/>
        <w:ind w:left="331" w:hanging="331"/>
      </w:pPr>
      <w:r>
        <w:rPr>
          <w:rFonts w:ascii="Aptos" w:hAnsi="Aptos"/>
          <w:b w:val="0"/>
          <w:i w:val="0"/>
          <w:color w:val="111827"/>
          <w:sz w:val="20"/>
        </w:rPr>
        <w:t>[1] K. Zhu et al., "TraceLab: Characterizing Coding Agent Workloads for LLM Serving," arXiv:2606.30560, 2026.</w:t>
      </w:r>
    </w:p>
    <w:p>
      <w:pPr>
        <w:spacing w:after="80"/>
        <w:ind w:left="331" w:hanging="331"/>
      </w:pPr>
      <w:r>
        <w:rPr>
          <w:rFonts w:ascii="Aptos" w:hAnsi="Aptos"/>
          <w:b w:val="0"/>
          <w:i w:val="0"/>
          <w:color w:val="111827"/>
          <w:sz w:val="20"/>
        </w:rPr>
        <w:t>[2] S. Tiwari et al., "CacheWise: Understanding Workloads and Optimizing KVCache Management for Efficiently Serving LLM Coding Agents," arXiv:2606.16824, 2026.</w:t>
      </w:r>
    </w:p>
    <w:p>
      <w:pPr>
        <w:spacing w:after="80"/>
        <w:ind w:left="331" w:hanging="331"/>
      </w:pPr>
      <w:r>
        <w:rPr>
          <w:rFonts w:ascii="Aptos" w:hAnsi="Aptos"/>
          <w:b w:val="0"/>
          <w:i w:val="0"/>
          <w:color w:val="111827"/>
          <w:sz w:val="20"/>
        </w:rPr>
        <w:t>[3] H. Li et al., "Continuum: Efficient and Robust Multi-Turn LLM Agent Scheduling with KV Cache Time-to-Live," arXiv:2511.02230, 2025/2026.</w:t>
      </w:r>
    </w:p>
    <w:p>
      <w:pPr>
        <w:spacing w:after="80"/>
        <w:ind w:left="331" w:hanging="331"/>
      </w:pPr>
      <w:r>
        <w:rPr>
          <w:rFonts w:ascii="Aptos" w:hAnsi="Aptos"/>
          <w:b w:val="0"/>
          <w:i w:val="0"/>
          <w:color w:val="111827"/>
          <w:sz w:val="20"/>
        </w:rPr>
        <w:t>[4] H. Kang et al., "ThunderAgent: A Simple, Fast and Program-Aware Agentic Inference System," arXiv:2602.13692, 2026.</w:t>
      </w:r>
    </w:p>
    <w:p>
      <w:pPr>
        <w:spacing w:after="80"/>
        <w:ind w:left="331" w:hanging="331"/>
      </w:pPr>
      <w:r>
        <w:rPr>
          <w:rFonts w:ascii="Aptos" w:hAnsi="Aptos"/>
          <w:b w:val="0"/>
          <w:i w:val="0"/>
          <w:color w:val="111827"/>
          <w:sz w:val="20"/>
        </w:rPr>
        <w:t>[5] S. Yu et al., "Pythia: Exploiting Workflow Predictability for Efficient Agent-Native LLM Serving," arXiv:2604.25899, 2026.</w:t>
      </w:r>
    </w:p>
    <w:p>
      <w:pPr>
        <w:spacing w:after="80"/>
        <w:ind w:left="331" w:hanging="331"/>
      </w:pPr>
      <w:r>
        <w:rPr>
          <w:rFonts w:ascii="Aptos" w:hAnsi="Aptos"/>
          <w:b w:val="0"/>
          <w:i w:val="0"/>
          <w:color w:val="111827"/>
          <w:sz w:val="20"/>
        </w:rPr>
        <w:t>[6] Y. Yao et al., "CacheBlend: Fast Large Language Model Serving for RAG with Cached Knowledge Fusion," arXiv:2405.16444, 2024.</w:t>
      </w:r>
    </w:p>
    <w:p>
      <w:pPr>
        <w:spacing w:after="80"/>
        <w:ind w:left="331" w:hanging="331"/>
      </w:pPr>
      <w:r>
        <w:rPr>
          <w:rFonts w:ascii="Aptos" w:hAnsi="Aptos"/>
          <w:b w:val="0"/>
          <w:i w:val="0"/>
          <w:color w:val="111827"/>
          <w:sz w:val="20"/>
        </w:rPr>
        <w:t>[7] "EPIC: Efficient Position-Independent Caching for Serving Large Language Models," arXiv:2410.15332, 2024.</w:t>
      </w:r>
    </w:p>
    <w:p>
      <w:pPr>
        <w:spacing w:after="80"/>
        <w:ind w:left="331" w:hanging="331"/>
      </w:pPr>
      <w:r>
        <w:rPr>
          <w:rFonts w:ascii="Aptos" w:hAnsi="Aptos"/>
          <w:b w:val="0"/>
          <w:i w:val="0"/>
          <w:color w:val="111827"/>
          <w:sz w:val="20"/>
        </w:rPr>
        <w:t>[8] "LMCache: An Efficient KV Cache Layer for Enterprise-Scale LLM Inference," arXiv:2510.09665, 2025.</w:t>
      </w:r>
    </w:p>
    <w:p>
      <w:pPr>
        <w:spacing w:after="80"/>
        <w:ind w:left="331" w:hanging="331"/>
      </w:pPr>
      <w:r>
        <w:rPr>
          <w:rFonts w:ascii="Aptos" w:hAnsi="Aptos"/>
          <w:b w:val="0"/>
          <w:i w:val="0"/>
          <w:color w:val="111827"/>
          <w:sz w:val="20"/>
        </w:rPr>
        <w:t>[9] "Strata: Hierarchical Context Caching for Long Context Language Model Serving," arXiv:2508.18572, 2025.</w:t>
      </w:r>
    </w:p>
    <w:p>
      <w:pPr>
        <w:spacing w:after="80"/>
        <w:ind w:left="331" w:hanging="331"/>
      </w:pPr>
      <w:r>
        <w:rPr>
          <w:rFonts w:ascii="Aptos" w:hAnsi="Aptos"/>
          <w:b w:val="0"/>
          <w:i w:val="0"/>
          <w:color w:val="111827"/>
          <w:sz w:val="20"/>
        </w:rPr>
        <w:t>[10] "KVDrive: A Holistic Multi-Tier KV Cache Management System for Long-Context LLM Inference," arXiv:2605.18071, 2026.</w:t>
      </w:r>
    </w:p>
    <w:p>
      <w:pPr>
        <w:spacing w:after="80"/>
        <w:ind w:left="331" w:hanging="331"/>
      </w:pPr>
      <w:r>
        <w:rPr>
          <w:rFonts w:ascii="Aptos" w:hAnsi="Aptos"/>
          <w:b w:val="0"/>
          <w:i w:val="0"/>
          <w:color w:val="111827"/>
          <w:sz w:val="20"/>
        </w:rPr>
        <w:t>[11] "Auditing Prompt Caching in Language Model APIs," arXiv:2502.07776, 2025.</w:t>
      </w:r>
    </w:p>
    <w:p>
      <w:pPr>
        <w:spacing w:after="80"/>
        <w:ind w:left="331" w:hanging="331"/>
      </w:pPr>
      <w:r>
        <w:rPr>
          <w:rFonts w:ascii="Aptos" w:hAnsi="Aptos"/>
          <w:b w:val="0"/>
          <w:i w:val="0"/>
          <w:color w:val="111827"/>
          <w:sz w:val="20"/>
        </w:rPr>
        <w:t>[12] NVIDIA, "GeForce RTX 5090 Specifications," 32 GB GDDR7.</w:t>
      </w:r>
    </w:p>
    <w:sectPr>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 xml:space="preserve">Stage 0 Experimental Predesign | Frozen Version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6"/>
      </w:rPr>
      <w:t>CODE AGENT KVCACHE  /  STAGE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95"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2E7D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Agent KVCache Stage 0-5 Experimental Predesign Report</dc:title>
  <dc:subject>Stage 0 Final Review, Research-Hypothesis Freeze, and Stage 1 Admission</dc:subject>
  <dc:creator/>
  <cp:keywords>Code Agent, KVCache, prefix caching, tiered storage, experimental design</cp:keywords>
  <dc:description>Frozen after approval of Section 0-5.7 on September 2, 2026.</dc:description>
  <cp:lastModifiedBy/>
  <cp:revision>1</cp:revision>
  <dcterms:created xsi:type="dcterms:W3CDTF">2013-12-23T23:15:00Z</dcterms:created>
  <dcterms:modified xsi:type="dcterms:W3CDTF">2013-12-23T23:15:00Z</dcterms:modified>
  <cp:category/>
</cp:coreProperties>
</file>