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/>
        <w:jc w:val="center"/>
      </w:pPr>
      <w:r>
        <w:rPr>
          <w:rFonts w:ascii="Aptos" w:hAnsi="Aptos" w:eastAsia="Microsoft YaHei"/>
          <w:b/>
          <w:i w:val="0"/>
          <w:color w:val="B58B32"/>
          <w:sz w:val="21"/>
        </w:rPr>
        <w:t>STAGE 0-5  /  EXPERIMENTAL PREDESIGN</w:t>
      </w:r>
    </w:p>
    <w:p>
      <w:pPr>
        <w:pStyle w:val="Title"/>
        <w:jc w:val="center"/>
      </w:pPr>
      <w:r>
        <w:t>Code Agent KVCache</w:t>
        <w:br/>
        <w:t>实验预设计报告</w:t>
      </w:r>
    </w:p>
    <w:p>
      <w:pPr>
        <w:pStyle w:val="Subtitle"/>
        <w:jc w:val="center"/>
      </w:pPr>
      <w:r>
        <w:t>面向暂停—恢复型编码智能体的有效复用边界与分层保留研究</w:t>
      </w:r>
    </w:p>
    <w:p>
      <w:pPr>
        <w:spacing w:before="360" w:after="560"/>
        <w:jc w:val="center"/>
      </w:pPr>
      <w:r>
        <w:rPr>
          <w:rFonts w:ascii="Aptos" w:hAnsi="Aptos" w:eastAsia="Microsoft YaHei"/>
          <w:b w:val="0"/>
          <w:i/>
          <w:color w:val="2E7D75"/>
          <w:sz w:val="22"/>
        </w:rPr>
        <w:t>Effective-Reuse Frontier and Value-Density-Driven Tiered KV Retention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2E7D75"/>
          <w:left w:val="single" w:sz="8" w:color="2E7D75"/>
          <w:bottom w:val="single" w:sz="8" w:color="2E7D75"/>
          <w:right w:val="single" w:sz="8" w:color="2E7D75"/>
          <w:insideH w:val="single" w:sz="8" w:color="2E7D75"/>
          <w:insideV w:val="single" w:sz="8" w:color="2E7D7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6F4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2E7D75"/>
                <w:sz w:val="19"/>
              </w:rPr>
              <w:t xml:space="preserve">评审结论  </w:t>
            </w:r>
            <w:r>
              <w:rPr>
                <w:rFonts w:ascii="Aptos" w:hAnsi="Aptos" w:eastAsia="Microsoft YaHei"/>
                <w:b w:val="0"/>
                <w:i w:val="0"/>
                <w:color w:val="111827"/>
                <w:sz w:val="19"/>
              </w:rPr>
              <w:t>0-5.7 已于 2026-09-02 经项目所有者确认通过。RQ、目标、假设、工作负载、基线、实验矩阵、主指标、正确性门槛与复现规则自本版本起冻结。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文档字段</w:t>
            </w:r>
          </w:p>
        </w:tc>
        <w:tc>
          <w:tcPr>
            <w:tcW w:type="dxa" w:w="756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冻结值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阶段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Stage 0-5：实验预设计与 Stage 1 准入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版本</w:t>
            </w:r>
          </w:p>
        </w:tc>
        <w:tc>
          <w:tcPr>
            <w:tcW w:type="dxa" w:w="75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v1.0 / Frozen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日期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2026-09-02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首期环境</w:t>
            </w:r>
          </w:p>
        </w:tc>
        <w:tc>
          <w:tcPr>
            <w:tcW w:type="dxa" w:w="75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Ubuntu / RTX 5090 32GB / 64GB DRAM / 本地 NVMe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首期模型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Qwen2.5-Coder-7B 系列；精确 Revision 待 Stage 1 环境审计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首期引擎</w:t>
            </w:r>
          </w:p>
        </w:tc>
        <w:tc>
          <w:tcPr>
            <w:tcW w:type="dxa" w:w="75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vLLM；精确版本待兼容性审计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文档性质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研究与实验设计，不包含任何已完成性能结果</w:t>
            </w:r>
          </w:p>
        </w:tc>
      </w:tr>
    </w:tbl>
    <w:p>
      <w:pPr>
        <w:spacing w:after="0"/>
      </w:pPr>
    </w:p>
    <w:p>
      <w:pPr>
        <w:spacing w:before="400"/>
        <w:jc w:val="center"/>
      </w:pPr>
      <w:r>
        <w:rPr>
          <w:rFonts w:ascii="Aptos" w:hAnsi="Aptos" w:eastAsia="Microsoft YaHei"/>
          <w:b/>
          <w:i w:val="0"/>
          <w:color w:val="5B6573"/>
          <w:sz w:val="18"/>
        </w:rPr>
        <w:t>研究设计冻结版｜可编辑主文档</w:t>
      </w:r>
    </w:p>
    <w:p>
      <w:r>
        <w:br w:type="page"/>
      </w:r>
    </w:p>
    <w:p>
      <w:pPr>
        <w:pStyle w:val="Title"/>
      </w:pPr>
      <w:r>
        <w:t>文档控制与阅读说明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761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状态</w:t>
            </w:r>
          </w:p>
        </w:tc>
        <w:tc>
          <w:tcPr>
            <w:tcW w:type="dxa" w:w="761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0-5.7 通过；Stage 0 内容冻结；待本报告归档后完成 research 仓库结项。</w:t>
            </w:r>
          </w:p>
        </w:tc>
      </w:tr>
      <w:tr>
        <w:tc>
          <w:tcPr>
            <w:tcW w:type="dxa" w:w="17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适用范围</w:t>
            </w:r>
          </w:p>
        </w:tc>
        <w:tc>
          <w:tcPr>
            <w:tcW w:type="dxa" w:w="761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指导 Stage 1 环境审计、Pilot、Core 实验、正确性验证和结果归档。</w:t>
            </w:r>
          </w:p>
        </w:tc>
      </w:tr>
      <w:tr>
        <w:tc>
          <w:tcPr>
            <w:tcW w:type="dxa" w:w="17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变更原则</w:t>
            </w:r>
          </w:p>
        </w:tc>
        <w:tc>
          <w:tcPr>
            <w:tcW w:type="dxa" w:w="761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冻结项原则上不因观察到的结果而修改；若确需变更，必须记录原因、版本、影响范围并重新审批。</w:t>
            </w:r>
          </w:p>
        </w:tc>
      </w:tr>
      <w:tr>
        <w:tc>
          <w:tcPr>
            <w:tcW w:type="dxa" w:w="17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数据纪律</w:t>
            </w:r>
          </w:p>
        </w:tc>
        <w:tc>
          <w:tcPr>
            <w:tcW w:type="dxa" w:w="761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Pilot 不进入 Core；失败与负结果保留；候选目标不得写成实测结论。</w:t>
            </w:r>
          </w:p>
        </w:tc>
      </w:tr>
      <w:tr>
        <w:tc>
          <w:tcPr>
            <w:tcW w:type="dxa" w:w="17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外部分享</w:t>
            </w:r>
          </w:p>
        </w:tc>
        <w:tc>
          <w:tcPr>
            <w:tcW w:type="dxa" w:w="761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8"/>
              </w:rPr>
              <w:t>可用于向导师或协作者说明研究计划；未公开 Prompt、Trace、密钥和未脱敏日志不得进入对外版本。</w:t>
            </w:r>
          </w:p>
        </w:tc>
      </w:tr>
    </w:tbl>
    <w:p>
      <w:pPr>
        <w:spacing w:after="0"/>
      </w:pPr>
    </w:p>
    <w:p>
      <w:pPr>
        <w:pStyle w:val="Heading1"/>
      </w:pPr>
      <w:r>
        <w:t>执行摘要</w:t>
      </w:r>
    </w:p>
    <w:p>
      <w:r>
        <w:rPr>
          <w:rFonts w:ascii="Aptos" w:hAnsi="Aptos" w:eastAsia="Microsoft YaHei"/>
          <w:b w:val="0"/>
          <w:i w:val="0"/>
          <w:color w:val="111827"/>
          <w:sz w:val="20"/>
        </w:rPr>
        <w:t>本项目研究 Code Agent 在多轮、长上下文、工具调用交替的推理过程中，如何安全复用 KVCache。与普通聊天不同，编码智能体会在执行命令、读取文件、等待测试或人工确认时暂停；恢复后通常继续追加少量 Token，但返回时间、会话并发和上下文长度均具有长尾。这使缓存既有显著复用潜力，也容易因显存压力、迁移开销或错误身份匹配而失去价值。</w:t>
      </w:r>
    </w:p>
    <w:p>
      <w:r>
        <w:rPr>
          <w:rFonts w:ascii="Aptos" w:hAnsi="Aptos" w:eastAsia="Microsoft YaHei"/>
          <w:b w:val="0"/>
          <w:i w:val="0"/>
          <w:color w:val="111827"/>
          <w:sz w:val="20"/>
        </w:rPr>
        <w:t>Stage 0 已将宽泛的“前缀缓存＋通用分层存储”收敛为一条可证伪主线：在 RTX 5090 32GB、64GB DRAM 与本地 NVMe 的受限单机环境中，以精确 Token 前缀为首期正确性边界，测量理论复用与有效复用的差距，并在 GPU、DRAM、NVMe 和重计算之间执行价值密度驱动的联合决策。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2E7D75"/>
          <w:left w:val="single" w:sz="8" w:color="2E7D75"/>
          <w:bottom w:val="single" w:sz="8" w:color="2E7D75"/>
          <w:right w:val="single" w:sz="8" w:color="2E7D75"/>
          <w:insideH w:val="single" w:sz="8" w:color="2E7D75"/>
          <w:insideV w:val="single" w:sz="8" w:color="2E7D7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6F4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2E7D75"/>
                <w:sz w:val="19"/>
              </w:rPr>
              <w:t xml:space="preserve">核心证据链  </w:t>
            </w:r>
            <w:r>
              <w:rPr>
                <w:rFonts w:ascii="Aptos" w:hAnsi="Aptos" w:eastAsia="Microsoft YaHei"/>
                <w:b w:val="0"/>
                <w:i w:val="0"/>
                <w:color w:val="111827"/>
                <w:sz w:val="19"/>
              </w:rPr>
              <w:t>为什么复用 → 哪些内容能安全复用 → 从哪里恢复 → 是否比重算更快 → 输出是否正确 → 任务是否成功 → 结论能否复现。</w:t>
            </w:r>
          </w:p>
        </w:tc>
      </w:tr>
    </w:tbl>
    <w:p>
      <w:pPr>
        <w:spacing w:after="0"/>
      </w:pPr>
    </w:p>
    <w:p>
      <w:pPr>
        <w:pStyle w:val="Heading2"/>
      </w:pPr>
      <w:r>
        <w:t>冻结决策一览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1450"/>
        <w:gridCol w:w="2850"/>
        <w:gridCol w:w="5060"/>
      </w:tblGrid>
      <w:tr>
        <w:trPr>
          <w:tblHeader w:val="true"/>
        </w:trPr>
        <w:tc>
          <w:tcPr>
            <w:tcW w:type="dxa" w:w="145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285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冻结内容</w:t>
            </w:r>
          </w:p>
        </w:tc>
        <w:tc>
          <w:tcPr>
            <w:tcW w:type="dxa" w:w="506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14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研究对象</w:t>
            </w:r>
          </w:p>
        </w:tc>
        <w:tc>
          <w:tcPr>
            <w:tcW w:type="dxa" w:w="28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暂停—恢复型、追加式 Code Agent 会话</w:t>
            </w:r>
          </w:p>
        </w:tc>
        <w:tc>
          <w:tcPr>
            <w:tcW w:type="dxa" w:w="50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聚焦最有真实复用结构且可在单机验证的场景</w:t>
            </w:r>
          </w:p>
        </w:tc>
      </w:tr>
      <w:tr>
        <w:tc>
          <w:tcPr>
            <w:tcW w:type="dxa" w:w="14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主线</w:t>
            </w:r>
          </w:p>
        </w:tc>
        <w:tc>
          <w:tcPr>
            <w:tcW w:type="dxa" w:w="28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精确前缀＋GPU/DRAM/NVMe/重算联合决策</w:t>
            </w:r>
          </w:p>
        </w:tc>
        <w:tc>
          <w:tcPr>
            <w:tcW w:type="dxa" w:w="50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正确性优先，收益必须扣除完整恢复路径</w:t>
            </w:r>
          </w:p>
        </w:tc>
      </w:tr>
      <w:tr>
        <w:tc>
          <w:tcPr>
            <w:tcW w:type="dxa" w:w="14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核心问题</w:t>
            </w:r>
          </w:p>
        </w:tc>
        <w:tc>
          <w:tcPr>
            <w:tcW w:type="dxa" w:w="28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RQ1–RQ4</w:t>
            </w:r>
          </w:p>
        </w:tc>
        <w:tc>
          <w:tcPr>
            <w:tcW w:type="dxa" w:w="50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复用量、有效性边界、层级决策、任务级价值</w:t>
            </w:r>
          </w:p>
        </w:tc>
      </w:tr>
      <w:tr>
        <w:tc>
          <w:tcPr>
            <w:tcW w:type="dxa" w:w="14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长期问题</w:t>
            </w:r>
          </w:p>
        </w:tc>
        <w:tc>
          <w:tcPr>
            <w:tcW w:type="dxa" w:w="28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RQ5</w:t>
            </w:r>
          </w:p>
        </w:tc>
        <w:tc>
          <w:tcPr>
            <w:tcW w:type="dxa" w:w="50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跨模型、注意力、硬件与工作负载泛化</w:t>
            </w:r>
          </w:p>
        </w:tc>
      </w:tr>
      <w:tr>
        <w:tc>
          <w:tcPr>
            <w:tcW w:type="dxa" w:w="14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高风险拓展</w:t>
            </w:r>
          </w:p>
        </w:tc>
        <w:tc>
          <w:tcPr>
            <w:tcW w:type="dxa" w:w="28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G6 非前缀复用</w:t>
            </w:r>
          </w:p>
        </w:tc>
        <w:tc>
          <w:tcPr>
            <w:tcW w:type="dxa" w:w="50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仅在精确主线通过门槛后启动</w:t>
            </w:r>
          </w:p>
        </w:tc>
      </w:tr>
      <w:tr>
        <w:tc>
          <w:tcPr>
            <w:tcW w:type="dxa" w:w="14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主指标</w:t>
            </w:r>
          </w:p>
        </w:tc>
        <w:tc>
          <w:tcPr>
            <w:tcW w:type="dxa" w:w="28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正确性、有效命中、P95 TTFT、会话完成时间、每成功任务成本</w:t>
            </w:r>
          </w:p>
        </w:tc>
        <w:tc>
          <w:tcPr>
            <w:tcW w:type="dxa" w:w="50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避免用单一命中率代替系统价值</w:t>
            </w:r>
          </w:p>
        </w:tc>
      </w:tr>
      <w:tr>
        <w:tc>
          <w:tcPr>
            <w:tcW w:type="dxa" w:w="14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实验原则</w:t>
            </w:r>
          </w:p>
        </w:tc>
        <w:tc>
          <w:tcPr>
            <w:tcW w:type="dxa" w:w="28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Pilot/Core 分离、配对 Trace、保留负结果</w:t>
            </w:r>
          </w:p>
        </w:tc>
        <w:tc>
          <w:tcPr>
            <w:tcW w:type="dxa" w:w="50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避免选择偏差并支持复现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1. 阶段定位与研究边界</w:t>
      </w:r>
    </w:p>
    <w:p>
      <w:pPr>
        <w:pStyle w:val="Heading1"/>
      </w:pPr>
      <w:r>
        <w:t>1.1 Stage 0-5 的任务</w:t>
      </w:r>
    </w:p>
    <w:p>
      <w:r>
        <w:rPr>
          <w:rFonts w:ascii="Aptos" w:hAnsi="Aptos" w:eastAsia="Microsoft YaHei"/>
          <w:b w:val="0"/>
          <w:i w:val="0"/>
          <w:color w:val="111827"/>
          <w:sz w:val="20"/>
        </w:rPr>
        <w:t>0-5 的目标不是立刻实现完整缓存系统，而是把 0-4 的研究问题收敛转换为可执行、可比较、可否定、可复现的实验协议。它必须明确工作负载、回放方式、基线、实验组、指标、正确性门槛、统计规则、异常处理、硬件边界和 Stage 1 准入条件。</w:t>
      </w:r>
    </w:p>
    <w:p>
      <w:pPr>
        <w:pStyle w:val="Heading1"/>
      </w:pPr>
      <w:r>
        <w:t>1.2 研究对象与系统事件</w:t>
      </w:r>
    </w:p>
    <w:p>
      <w:r>
        <w:rPr>
          <w:rFonts w:ascii="Aptos" w:hAnsi="Aptos" w:eastAsia="Microsoft YaHei"/>
          <w:b w:val="0"/>
          <w:i w:val="0"/>
          <w:color w:val="111827"/>
          <w:sz w:val="20"/>
        </w:rPr>
        <w:t>一次 Code Agent 任务由多次 LLM 调用与工具执行交替组成。每次模型调用结束后，会话可能进入暂停；系统此时为其 KV 状态选择驻留或迁移动作。会话恢复时，系统验证缓存身份与完整性，再从目标层级恢复，或在收益不足、缓存缺失、身份不兼容时重新 Prefill。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事件边界：请求到达、Prefill、Decode、工具开始、工具结束、人工等待、会话恢复、会话结束。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候选动作：保留 GPU、迁移 DRAM、迁移 NVMe、逐出并在返回时重算。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决策输入：前缀长度、KV 字节数、预计返回时间、层级延迟/带宽、并发压力、兼容域、预测置信度。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决策输出：目标层级、迁移优先级、TTL/重评时间、回退路径和审计理由。</w:t>
      </w:r>
    </w:p>
    <w:p>
      <w:pPr>
        <w:pStyle w:val="Heading1"/>
      </w:pPr>
      <w:r>
        <w:t>1.3 首期明确排除项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多节点 RDMA、分布式缓存和大规模集群调度。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把 H100/H200 或 CXL/HBM 服务器结果作为 Stage 1 启动条件。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任意语义相似文本的直接 KV 复用。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跨租户私有内容共享或未绑定完整兼容键的缓存命中。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未经环境审计即冻结 CUDA、PyTorch、vLLM 或模型 Revision。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把供应商 Prompt Cache 的内部行为视作本地 KV 张量层实验。</w:t>
      </w:r>
    </w:p>
    <w:p>
      <w:pPr>
        <w:pStyle w:val="Title"/>
      </w:pPr>
      <w:r>
        <w:t>2. 研究问题、目标与可证伪假设</w:t>
      </w:r>
    </w:p>
    <w:p>
      <w:pPr>
        <w:pStyle w:val="Heading1"/>
      </w:pPr>
      <w:r>
        <w:t>2.1 研究问题（RQ）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900"/>
        <w:gridCol w:w="5220"/>
        <w:gridCol w:w="3240"/>
      </w:tblGrid>
      <w:tr>
        <w:trPr>
          <w:tblHeader w:val="true"/>
        </w:trPr>
        <w:tc>
          <w:tcPr>
            <w:tcW w:type="dxa" w:w="9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522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研究问题</w:t>
            </w:r>
          </w:p>
        </w:tc>
        <w:tc>
          <w:tcPr>
            <w:tcW w:type="dxa" w:w="324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核心观测</w:t>
            </w:r>
          </w:p>
        </w:tc>
      </w:tr>
      <w:tr>
        <w:tc>
          <w:tcPr>
            <w:tcW w:type="dxa" w:w="9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RQ1</w:t>
            </w:r>
          </w:p>
        </w:tc>
        <w:tc>
          <w:tcPr>
            <w:tcW w:type="dxa" w:w="52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Code Agent 请求中有多少 KVCache 可以被安全复用？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精确前缀结构、兼容命中、驻留命中</w:t>
            </w:r>
          </w:p>
        </w:tc>
      </w:tr>
      <w:tr>
        <w:tc>
          <w:tcPr>
            <w:tcW w:type="dxa" w:w="9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RQ2</w:t>
            </w:r>
          </w:p>
        </w:tc>
        <w:tc>
          <w:tcPr>
            <w:tcW w:type="dxa" w:w="522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理论可复用量与真正产生正收益的有效复用量差距多大？</w:t>
            </w:r>
          </w:p>
        </w:tc>
        <w:tc>
          <w:tcPr>
            <w:tcW w:type="dxa" w:w="324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逻辑命中、负收益命中、有效命中</w:t>
            </w:r>
          </w:p>
        </w:tc>
      </w:tr>
      <w:tr>
        <w:tc>
          <w:tcPr>
            <w:tcW w:type="dxa" w:w="9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RQ3</w:t>
            </w:r>
          </w:p>
        </w:tc>
        <w:tc>
          <w:tcPr>
            <w:tcW w:type="dxa" w:w="52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如何在 GPU、DRAM、NVMe 与重计算之间联合决策？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收益边界、容量压力、迁移与队列开销</w:t>
            </w:r>
          </w:p>
        </w:tc>
      </w:tr>
      <w:tr>
        <w:tc>
          <w:tcPr>
            <w:tcW w:type="dxa" w:w="9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RQ4</w:t>
            </w:r>
          </w:p>
        </w:tc>
        <w:tc>
          <w:tcPr>
            <w:tcW w:type="dxa" w:w="522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分层复用是否改善 P95 TTFT、任务完成时间与每成功任务成本？</w:t>
            </w:r>
          </w:p>
        </w:tc>
        <w:tc>
          <w:tcPr>
            <w:tcW w:type="dxa" w:w="324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性能、成功率、能耗与成本</w:t>
            </w:r>
          </w:p>
        </w:tc>
      </w:tr>
      <w:tr>
        <w:tc>
          <w:tcPr>
            <w:tcW w:type="dxa" w:w="9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RQ5</w:t>
            </w:r>
          </w:p>
        </w:tc>
        <w:tc>
          <w:tcPr>
            <w:tcW w:type="dxa" w:w="52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核心规律能否跨模型、架构、硬件和 Agent 工作负载泛化？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相对排序、边界迁移与失效条件</w:t>
            </w:r>
          </w:p>
        </w:tc>
      </w:tr>
    </w:tbl>
    <w:p>
      <w:pPr>
        <w:spacing w:after="0"/>
      </w:pPr>
    </w:p>
    <w:p>
      <w:pPr>
        <w:pStyle w:val="Heading1"/>
      </w:pPr>
      <w:r>
        <w:t>2.2 研究目标（G1–G8）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900"/>
        <w:gridCol w:w="6740"/>
        <w:gridCol w:w="1720"/>
      </w:tblGrid>
      <w:tr>
        <w:trPr>
          <w:tblHeader w:val="true"/>
        </w:trPr>
        <w:tc>
          <w:tcPr>
            <w:tcW w:type="dxa" w:w="9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目标</w:t>
            </w:r>
          </w:p>
        </w:tc>
        <w:tc>
          <w:tcPr>
            <w:tcW w:type="dxa" w:w="674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172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9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G1</w:t>
            </w:r>
          </w:p>
        </w:tc>
        <w:tc>
          <w:tcPr>
            <w:tcW w:type="dxa" w:w="67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刻画稳定精确前缀与可安全复用量</w:t>
            </w:r>
          </w:p>
        </w:tc>
        <w:tc>
          <w:tcPr>
            <w:tcW w:type="dxa" w:w="17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主线</w:t>
            </w:r>
          </w:p>
        </w:tc>
      </w:tr>
      <w:tr>
        <w:tc>
          <w:tcPr>
            <w:tcW w:type="dxa" w:w="9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G2</w:t>
            </w:r>
          </w:p>
        </w:tc>
        <w:tc>
          <w:tcPr>
            <w:tcW w:type="dxa" w:w="674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量化理论命中、驻留命中、有效命中之间的鸿沟</w:t>
            </w:r>
          </w:p>
        </w:tc>
        <w:tc>
          <w:tcPr>
            <w:tcW w:type="dxa" w:w="172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主线</w:t>
            </w:r>
          </w:p>
        </w:tc>
      </w:tr>
      <w:tr>
        <w:tc>
          <w:tcPr>
            <w:tcW w:type="dxa" w:w="9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G3</w:t>
            </w:r>
          </w:p>
        </w:tc>
        <w:tc>
          <w:tcPr>
            <w:tcW w:type="dxa" w:w="67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构建 GPU/DRAM/NVMe/重算联合决策</w:t>
            </w:r>
          </w:p>
        </w:tc>
        <w:tc>
          <w:tcPr>
            <w:tcW w:type="dxa" w:w="17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主线</w:t>
            </w:r>
          </w:p>
        </w:tc>
      </w:tr>
      <w:tr>
        <w:tc>
          <w:tcPr>
            <w:tcW w:type="dxa" w:w="9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G4</w:t>
            </w:r>
          </w:p>
        </w:tc>
        <w:tc>
          <w:tcPr>
            <w:tcW w:type="dxa" w:w="674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以每成功任务成本连接系统收益与任务价值</w:t>
            </w:r>
          </w:p>
        </w:tc>
        <w:tc>
          <w:tcPr>
            <w:tcW w:type="dxa" w:w="172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主线</w:t>
            </w:r>
          </w:p>
        </w:tc>
      </w:tr>
      <w:tr>
        <w:tc>
          <w:tcPr>
            <w:tcW w:type="dxa" w:w="9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G5</w:t>
            </w:r>
          </w:p>
        </w:tc>
        <w:tc>
          <w:tcPr>
            <w:tcW w:type="dxa" w:w="67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验证稳定 Prompt 内容前置的布局优化</w:t>
            </w:r>
          </w:p>
        </w:tc>
        <w:tc>
          <w:tcPr>
            <w:tcW w:type="dxa" w:w="17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主线</w:t>
            </w:r>
          </w:p>
        </w:tc>
      </w:tr>
      <w:tr>
        <w:tc>
          <w:tcPr>
            <w:tcW w:type="dxa" w:w="9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G6</w:t>
            </w:r>
          </w:p>
        </w:tc>
        <w:tc>
          <w:tcPr>
            <w:tcW w:type="dxa" w:w="674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探索依赖感知、选择性重计算的非前缀复用</w:t>
            </w:r>
          </w:p>
        </w:tc>
        <w:tc>
          <w:tcPr>
            <w:tcW w:type="dxa" w:w="172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高风险拓展</w:t>
            </w:r>
          </w:p>
        </w:tc>
      </w:tr>
      <w:tr>
        <w:tc>
          <w:tcPr>
            <w:tcW w:type="dxa" w:w="9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G7</w:t>
            </w:r>
          </w:p>
        </w:tc>
        <w:tc>
          <w:tcPr>
            <w:tcW w:type="dxa" w:w="67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建立多租户、版本、完整性和安全边界</w:t>
            </w:r>
          </w:p>
        </w:tc>
        <w:tc>
          <w:tcPr>
            <w:tcW w:type="dxa" w:w="17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主线门槛</w:t>
            </w:r>
          </w:p>
        </w:tc>
      </w:tr>
      <w:tr>
        <w:tc>
          <w:tcPr>
            <w:tcW w:type="dxa" w:w="9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G8</w:t>
            </w:r>
          </w:p>
        </w:tc>
        <w:tc>
          <w:tcPr>
            <w:tcW w:type="dxa" w:w="674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验证跨模型、注意力架构、硬件和任务泛化</w:t>
            </w:r>
          </w:p>
        </w:tc>
        <w:tc>
          <w:tcPr>
            <w:tcW w:type="dxa" w:w="172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长期拓展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2.3 可证伪假设（H1–H8）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850"/>
        <w:gridCol w:w="5050"/>
        <w:gridCol w:w="3460"/>
      </w:tblGrid>
      <w:tr>
        <w:trPr>
          <w:tblHeader w:val="true"/>
        </w:trPr>
        <w:tc>
          <w:tcPr>
            <w:tcW w:type="dxa" w:w="85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假设</w:t>
            </w:r>
          </w:p>
        </w:tc>
        <w:tc>
          <w:tcPr>
            <w:tcW w:type="dxa" w:w="505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可检验陈述</w:t>
            </w:r>
          </w:p>
        </w:tc>
        <w:tc>
          <w:tcPr>
            <w:tcW w:type="dxa" w:w="346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否定条件</w:t>
            </w:r>
          </w:p>
        </w:tc>
      </w:tr>
      <w:tr>
        <w:tc>
          <w:tcPr>
            <w:tcW w:type="dxa" w:w="8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H1</w:t>
            </w:r>
          </w:p>
        </w:tc>
        <w:tc>
          <w:tcPr>
            <w:tcW w:type="dxa" w:w="50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Code Agent 轨迹具有可观的稳定精确 Token 前缀。</w:t>
            </w:r>
          </w:p>
        </w:tc>
        <w:tc>
          <w:tcPr>
            <w:tcW w:type="dxa" w:w="34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W1/W2 前缀重复很低，B1 几乎无法复用。</w:t>
            </w:r>
          </w:p>
        </w:tc>
      </w:tr>
      <w:tr>
        <w:tc>
          <w:tcPr>
            <w:tcW w:type="dxa" w:w="8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H2</w:t>
            </w:r>
          </w:p>
        </w:tc>
        <w:tc>
          <w:tcPr>
            <w:tcW w:type="dxa" w:w="50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理论命中率明显高于有效命中率。</w:t>
            </w:r>
          </w:p>
        </w:tc>
        <w:tc>
          <w:tcPr>
            <w:tcW w:type="dxa" w:w="34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不同压力下两者差距始终可忽略。</w:t>
            </w:r>
          </w:p>
        </w:tc>
      </w:tr>
      <w:tr>
        <w:tc>
          <w:tcPr>
            <w:tcW w:type="dxa" w:w="8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H3</w:t>
            </w:r>
          </w:p>
        </w:tc>
        <w:tc>
          <w:tcPr>
            <w:tcW w:type="dxa" w:w="50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价值密度驱动 B5 在同等正确性与预算下优于强基线。</w:t>
            </w:r>
          </w:p>
        </w:tc>
        <w:tc>
          <w:tcPr>
            <w:tcW w:type="dxa" w:w="34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B5 无法稳定改善冻结主指标。</w:t>
            </w:r>
          </w:p>
        </w:tc>
      </w:tr>
      <w:tr>
        <w:tc>
          <w:tcPr>
            <w:tcW w:type="dxa" w:w="8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H4</w:t>
            </w:r>
          </w:p>
        </w:tc>
        <w:tc>
          <w:tcPr>
            <w:tcW w:type="dxa" w:w="50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DRAM、NVMe 和重算之间存在可测收益边界。</w:t>
            </w:r>
          </w:p>
        </w:tc>
        <w:tc>
          <w:tcPr>
            <w:tcW w:type="dxa" w:w="34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某层在全部条件始终更优或始终无效。</w:t>
            </w:r>
          </w:p>
        </w:tc>
      </w:tr>
      <w:tr>
        <w:tc>
          <w:tcPr>
            <w:tcW w:type="dxa" w:w="8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H5</w:t>
            </w:r>
          </w:p>
        </w:tc>
        <w:tc>
          <w:tcPr>
            <w:tcW w:type="dxa" w:w="50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稳定内容前置提高安全精确前缀复用。</w:t>
            </w:r>
          </w:p>
        </w:tc>
        <w:tc>
          <w:tcPr>
            <w:tcW w:type="dxa" w:w="34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命中无改善，或任务质量/Token 一致性下降。</w:t>
            </w:r>
          </w:p>
        </w:tc>
      </w:tr>
      <w:tr>
        <w:tc>
          <w:tcPr>
            <w:tcW w:type="dxa" w:w="8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H6</w:t>
            </w:r>
          </w:p>
        </w:tc>
        <w:tc>
          <w:tcPr>
            <w:tcW w:type="dxa" w:w="50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依赖感知与选择性重算可实现受控非前缀复用。</w:t>
            </w:r>
          </w:p>
        </w:tc>
        <w:tc>
          <w:tcPr>
            <w:tcW w:type="dxa" w:w="34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错误不可接受，或修复成本覆盖全部收益。</w:t>
            </w:r>
          </w:p>
        </w:tc>
      </w:tr>
      <w:tr>
        <w:tc>
          <w:tcPr>
            <w:tcW w:type="dxa" w:w="8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H7</w:t>
            </w:r>
          </w:p>
        </w:tc>
        <w:tc>
          <w:tcPr>
            <w:tcW w:type="dxa" w:w="50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完整兼容键、信任域 Salt 与校验阻止错误共享。</w:t>
            </w:r>
          </w:p>
        </w:tc>
        <w:tc>
          <w:tcPr>
            <w:tcW w:type="dxa" w:w="34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跨租户/跨版本/损坏 KV 被接受。</w:t>
            </w:r>
          </w:p>
        </w:tc>
      </w:tr>
      <w:tr>
        <w:tc>
          <w:tcPr>
            <w:tcW w:type="dxa" w:w="8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H8</w:t>
            </w:r>
          </w:p>
        </w:tc>
        <w:tc>
          <w:tcPr>
            <w:tcW w:type="dxa" w:w="50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核心规律具有一定跨模型或硬件适用性。</w:t>
            </w:r>
          </w:p>
        </w:tc>
        <w:tc>
          <w:tcPr>
            <w:tcW w:type="dxa" w:w="34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结论完全依赖单一设备、模型或负载。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33A3A"/>
          <w:left w:val="single" w:sz="8" w:color="A33A3A"/>
          <w:bottom w:val="single" w:sz="8" w:color="A33A3A"/>
          <w:right w:val="single" w:sz="8" w:color="A33A3A"/>
          <w:insideH w:val="single" w:sz="8" w:color="A33A3A"/>
          <w:insideV w:val="single" w:sz="8" w:color="A33A3A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6F4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A33A3A"/>
                <w:sz w:val="19"/>
              </w:rPr>
              <w:t xml:space="preserve">冻结纪律  </w:t>
            </w:r>
            <w:r>
              <w:rPr>
                <w:rFonts w:ascii="Aptos" w:hAnsi="Aptos" w:eastAsia="Microsoft YaHei"/>
                <w:b w:val="0"/>
                <w:i w:val="0"/>
                <w:color w:val="111827"/>
                <w:sz w:val="19"/>
              </w:rPr>
              <w:t>假设允许被否定。不得在看到 Core 结果后重新定义假设、主指标或异常口径以追求正结果。</w:t>
            </w:r>
          </w:p>
        </w:tc>
      </w:tr>
    </w:tbl>
    <w:p>
      <w:pPr>
        <w:spacing w:after="0"/>
      </w:pPr>
    </w:p>
    <w:p>
      <w:pPr>
        <w:pStyle w:val="Title"/>
      </w:pPr>
      <w:r>
        <w:t>3. 方法定义与收益模型</w:t>
      </w:r>
    </w:p>
    <w:p>
      <w:pPr>
        <w:pStyle w:val="Heading1"/>
      </w:pPr>
      <w:r>
        <w:t>3.1 三类命中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1700"/>
        <w:gridCol w:w="5160"/>
        <w:gridCol w:w="2500"/>
      </w:tblGrid>
      <w:tr>
        <w:trPr>
          <w:tblHeader w:val="true"/>
        </w:trPr>
        <w:tc>
          <w:tcPr>
            <w:tcW w:type="dxa" w:w="17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概念</w:t>
            </w:r>
          </w:p>
        </w:tc>
        <w:tc>
          <w:tcPr>
            <w:tcW w:type="dxa" w:w="516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判定</w:t>
            </w:r>
          </w:p>
        </w:tc>
        <w:tc>
          <w:tcPr>
            <w:tcW w:type="dxa" w:w="25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是否计入有效命中</w:t>
            </w:r>
          </w:p>
        </w:tc>
      </w:tr>
      <w:tr>
        <w:tc>
          <w:tcPr>
            <w:tcW w:type="dxa" w:w="17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理论/逻辑命中</w:t>
            </w:r>
          </w:p>
        </w:tc>
        <w:tc>
          <w:tcPr>
            <w:tcW w:type="dxa" w:w="51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历史中存在相同精确 Token 前缀。</w:t>
            </w:r>
          </w:p>
        </w:tc>
        <w:tc>
          <w:tcPr>
            <w:tcW w:type="dxa" w:w="25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否</w:t>
            </w:r>
          </w:p>
        </w:tc>
      </w:tr>
      <w:tr>
        <w:tc>
          <w:tcPr>
            <w:tcW w:type="dxa" w:w="17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驻留命中</w:t>
            </w:r>
          </w:p>
        </w:tc>
        <w:tc>
          <w:tcPr>
            <w:tcW w:type="dxa" w:w="51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兼容缓存仍存在于某存储层且可读取。</w:t>
            </w:r>
          </w:p>
        </w:tc>
        <w:tc>
          <w:tcPr>
            <w:tcW w:type="dxa" w:w="25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否</w:t>
            </w:r>
          </w:p>
        </w:tc>
      </w:tr>
      <w:tr>
        <w:tc>
          <w:tcPr>
            <w:tcW w:type="dxa" w:w="17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有效命中</w:t>
            </w:r>
          </w:p>
        </w:tc>
        <w:tc>
          <w:tcPr>
            <w:tcW w:type="dxa" w:w="51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完整恢复路径成功且快于重算，并通过正确性门槛。</w:t>
            </w:r>
          </w:p>
        </w:tc>
        <w:tc>
          <w:tcPr>
            <w:tcW w:type="dxa" w:w="25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是</w:t>
            </w:r>
          </w:p>
        </w:tc>
      </w:tr>
      <w:tr>
        <w:tc>
          <w:tcPr>
            <w:tcW w:type="dxa" w:w="17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负收益命中</w:t>
            </w:r>
          </w:p>
        </w:tc>
        <w:tc>
          <w:tcPr>
            <w:tcW w:type="dxa" w:w="51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逻辑命中且成功恢复，但恢复路径不快于重算。</w:t>
            </w:r>
          </w:p>
        </w:tc>
        <w:tc>
          <w:tcPr>
            <w:tcW w:type="dxa" w:w="25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否，单独报告</w:t>
            </w:r>
          </w:p>
        </w:tc>
      </w:tr>
    </w:tbl>
    <w:p>
      <w:pPr>
        <w:spacing w:after="0"/>
      </w:pPr>
    </w:p>
    <w:p>
      <w:pPr>
        <w:pStyle w:val="Heading1"/>
      </w:pPr>
      <w:r>
        <w:t>3.2 时间判定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2E7D75"/>
          <w:left w:val="single" w:sz="8" w:color="2E7D75"/>
          <w:bottom w:val="single" w:sz="8" w:color="2E7D75"/>
          <w:right w:val="single" w:sz="8" w:color="2E7D75"/>
          <w:insideH w:val="single" w:sz="8" w:color="2E7D75"/>
          <w:insideV w:val="single" w:sz="8" w:color="2E7D7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6F4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2E7D75"/>
                <w:sz w:val="19"/>
              </w:rPr>
              <w:t xml:space="preserve">有效复用条件  </w:t>
            </w:r>
            <w:r>
              <w:rPr>
                <w:rFonts w:ascii="Aptos" w:hAnsi="Aptos" w:eastAsia="Microsoft YaHei"/>
                <w:b w:val="0"/>
                <w:i w:val="0"/>
                <w:color w:val="111827"/>
                <w:sz w:val="19"/>
              </w:rPr>
              <w:t>T_lookup + T_queue + T_transfer + T_restore &lt; T_recompute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  <w:b w:val="0"/>
          <w:i w:val="0"/>
          <w:color w:val="111827"/>
          <w:sz w:val="20"/>
        </w:rPr>
        <w:t>所有分量必须在相同硬件、相同并发和相同计时边界下测量。NVMe 读取需区分冷读取、页缓存热读取和明确受控条件，避免把 Linux Page Cache 的 DRAM 性能误判为磁盘性能。</w:t>
      </w:r>
    </w:p>
    <w:p>
      <w:pPr>
        <w:pStyle w:val="Heading1"/>
      </w:pPr>
      <w:r>
        <w:t>3.3 候选价值函数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2E7D75"/>
          <w:left w:val="single" w:sz="8" w:color="2E7D75"/>
          <w:bottom w:val="single" w:sz="8" w:color="2E7D75"/>
          <w:right w:val="single" w:sz="8" w:color="2E7D75"/>
          <w:insideH w:val="single" w:sz="8" w:color="2E7D75"/>
          <w:insideV w:val="single" w:sz="8" w:color="2E7D75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6F4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2E7D75"/>
                <w:sz w:val="19"/>
              </w:rPr>
              <w:t xml:space="preserve">候选决策式  </w:t>
            </w:r>
            <w:r>
              <w:rPr>
                <w:rFonts w:ascii="Aptos" w:hAnsi="Aptos" w:eastAsia="Microsoft YaHei"/>
                <w:b w:val="0"/>
                <w:i w:val="0"/>
                <w:color w:val="111827"/>
                <w:sz w:val="19"/>
              </w:rPr>
              <w:t>Benefit(i,l) = p_return(i) × [T_recompute(i) − T_restore(i,l)] − C_move(i,l) − λ_l × Bytes(i)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  <w:b w:val="0"/>
          <w:i w:val="0"/>
          <w:color w:val="111827"/>
          <w:sz w:val="20"/>
        </w:rPr>
        <w:t>其中 i 表示缓存条目或块，l 表示层级。该式是需要通过消融和实测验证的候选框架，不是已经证明的算法。若所有层级收益均不为正，则选择重算；容量约束下优先保留单位字节预期收益更高的条目。</w:t>
      </w:r>
    </w:p>
    <w:p>
      <w:pPr>
        <w:pStyle w:val="Heading1"/>
      </w:pPr>
      <w:r>
        <w:t>3.4 冻结指标公式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理论 Token 命中率 H_token = Σ 逻辑复用 Prefill Token / Σ 全部 Prefill Token。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有效 Token 命中率 H_effective = Σ 满足完整恢复路径快于重算且正确的 Token / Σ 全部 Prefill Token。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每成功任务成本 C_success = 端到端系统总成本 / 成功任务数。</w:t>
      </w:r>
    </w:p>
    <w:p>
      <w:pPr>
        <w:pStyle w:val="Title"/>
      </w:pPr>
      <w:r>
        <w:t>4. 工作负载与回放设计</w:t>
      </w:r>
    </w:p>
    <w:p>
      <w:pPr>
        <w:pStyle w:val="Heading1"/>
      </w:pPr>
      <w:r>
        <w:t>4.1 三类工作负载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1200"/>
        <w:gridCol w:w="2780"/>
        <w:gridCol w:w="2900"/>
        <w:gridCol w:w="2480"/>
      </w:tblGrid>
      <w:tr>
        <w:trPr>
          <w:tblHeader w:val="true"/>
        </w:trPr>
        <w:tc>
          <w:tcPr>
            <w:tcW w:type="dxa" w:w="12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工作负载</w:t>
            </w:r>
          </w:p>
        </w:tc>
        <w:tc>
          <w:tcPr>
            <w:tcW w:type="dxa" w:w="278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主要内容</w:t>
            </w:r>
          </w:p>
        </w:tc>
        <w:tc>
          <w:tcPr>
            <w:tcW w:type="dxa" w:w="29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主要价值</w:t>
            </w:r>
          </w:p>
        </w:tc>
        <w:tc>
          <w:tcPr>
            <w:tcW w:type="dxa" w:w="248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主要局限</w:t>
            </w:r>
          </w:p>
        </w:tc>
      </w:tr>
      <w:tr>
        <w:tc>
          <w:tcPr>
            <w:tcW w:type="dxa" w:w="12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W1 公开真实轨迹</w:t>
            </w:r>
          </w:p>
        </w:tc>
        <w:tc>
          <w:tcPr>
            <w:tcW w:type="dxa" w:w="278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请求长度、时间、会话关系、工具暂停与并发</w:t>
            </w:r>
          </w:p>
        </w:tc>
        <w:tc>
          <w:tcPr>
            <w:tcW w:type="dxa" w:w="29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真实结构与分布，用于 R1</w:t>
            </w:r>
          </w:p>
        </w:tc>
        <w:tc>
          <w:tcPr>
            <w:tcW w:type="dxa" w:w="248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可能缺完整 Prompt，难以精确复现输出</w:t>
            </w:r>
          </w:p>
        </w:tc>
      </w:tr>
      <w:tr>
        <w:tc>
          <w:tcPr>
            <w:tcW w:type="dxa" w:w="12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W2 自采 SWE-bench Agent 轨迹</w:t>
            </w:r>
          </w:p>
        </w:tc>
        <w:tc>
          <w:tcPr>
            <w:tcW w:type="dxa" w:w="278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固定 Agent/模型/模板/工具/任务/解码，记录完整 Token 与时间戳</w:t>
            </w:r>
          </w:p>
        </w:tc>
        <w:tc>
          <w:tcPr>
            <w:tcW w:type="dxa" w:w="29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支持 R2/R3、任务成功与每成功任务成本</w:t>
            </w:r>
          </w:p>
        </w:tc>
        <w:tc>
          <w:tcPr>
            <w:tcW w:type="dxa" w:w="248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采集成本高，需严格版本控制</w:t>
            </w:r>
          </w:p>
        </w:tc>
      </w:tr>
      <w:tr>
        <w:tc>
          <w:tcPr>
            <w:tcW w:type="dxa" w:w="12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W3 受控合成轨迹</w:t>
            </w:r>
          </w:p>
        </w:tc>
        <w:tc>
          <w:tcPr>
            <w:tcW w:type="dxa" w:w="278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单独改变长度、暂停、并发、缓存压力、修改比例或返回概率</w:t>
            </w:r>
          </w:p>
        </w:tc>
        <w:tc>
          <w:tcPr>
            <w:tcW w:type="dxa" w:w="29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隔离因果变量与测量收益边界</w:t>
            </w:r>
          </w:p>
        </w:tc>
        <w:tc>
          <w:tcPr>
            <w:tcW w:type="dxa" w:w="248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不代表完整真实行为</w:t>
            </w:r>
          </w:p>
        </w:tc>
      </w:tr>
    </w:tbl>
    <w:p>
      <w:pPr>
        <w:spacing w:after="0"/>
      </w:pPr>
    </w:p>
    <w:p>
      <w:pPr>
        <w:pStyle w:val="Heading1"/>
      </w:pPr>
      <w:r>
        <w:t>4.2 三种回放模式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1600"/>
        <w:gridCol w:w="2500"/>
        <w:gridCol w:w="2780"/>
        <w:gridCol w:w="2480"/>
      </w:tblGrid>
      <w:tr>
        <w:trPr>
          <w:tblHeader w:val="true"/>
        </w:trPr>
        <w:tc>
          <w:tcPr>
            <w:tcW w:type="dxa" w:w="16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模式</w:t>
            </w:r>
          </w:p>
        </w:tc>
        <w:tc>
          <w:tcPr>
            <w:tcW w:type="dxa" w:w="25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保留内容</w:t>
            </w:r>
          </w:p>
        </w:tc>
        <w:tc>
          <w:tcPr>
            <w:tcW w:type="dxa" w:w="278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用途</w:t>
            </w:r>
          </w:p>
        </w:tc>
        <w:tc>
          <w:tcPr>
            <w:tcW w:type="dxa" w:w="248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正确性要求</w:t>
            </w:r>
          </w:p>
        </w:tc>
      </w:tr>
      <w:tr>
        <w:tc>
          <w:tcPr>
            <w:tcW w:type="dxa" w:w="1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R1 结构回放</w:t>
            </w:r>
          </w:p>
        </w:tc>
        <w:tc>
          <w:tcPr>
            <w:tcW w:type="dxa" w:w="25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时间、长度、会话、依赖与请求顺序</w:t>
            </w:r>
          </w:p>
        </w:tc>
        <w:tc>
          <w:tcPr>
            <w:tcW w:type="dxa" w:w="278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调度、容量和层级压力</w:t>
            </w:r>
          </w:p>
        </w:tc>
        <w:tc>
          <w:tcPr>
            <w:tcW w:type="dxa" w:w="248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事件与资源行为一致</w:t>
            </w:r>
          </w:p>
        </w:tc>
      </w:tr>
      <w:tr>
        <w:tc>
          <w:tcPr>
            <w:tcW w:type="dxa" w:w="16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R2 Token 精确回放</w:t>
            </w:r>
          </w:p>
        </w:tc>
        <w:tc>
          <w:tcPr>
            <w:tcW w:type="dxa" w:w="25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完全相同 Token ID 和请求边界</w:t>
            </w:r>
          </w:p>
        </w:tc>
        <w:tc>
          <w:tcPr>
            <w:tcW w:type="dxa" w:w="278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KV 正确性与可重复性能</w:t>
            </w:r>
          </w:p>
        </w:tc>
        <w:tc>
          <w:tcPr>
            <w:tcW w:type="dxa" w:w="248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精确前缀输出 Token 必须一致</w:t>
            </w:r>
          </w:p>
        </w:tc>
      </w:tr>
      <w:tr>
        <w:tc>
          <w:tcPr>
            <w:tcW w:type="dxa" w:w="1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R3 端到端回放</w:t>
            </w:r>
          </w:p>
        </w:tc>
        <w:tc>
          <w:tcPr>
            <w:tcW w:type="dxa" w:w="25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Agent、工具、任务和测试真实运行</w:t>
            </w:r>
          </w:p>
        </w:tc>
        <w:tc>
          <w:tcPr>
            <w:tcW w:type="dxa" w:w="278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任务价值、成功率与总成本</w:t>
            </w:r>
          </w:p>
        </w:tc>
        <w:tc>
          <w:tcPr>
            <w:tcW w:type="dxa" w:w="248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任务测试与成功判定必须固定</w:t>
            </w:r>
          </w:p>
        </w:tc>
      </w:tr>
    </w:tbl>
    <w:p>
      <w:pPr>
        <w:spacing w:after="0"/>
      </w:pPr>
    </w:p>
    <w:p>
      <w:pPr>
        <w:pStyle w:val="Heading1"/>
      </w:pPr>
      <w:r>
        <w:t>4.3 Trace 最小 Schema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字段组</w:t>
            </w:r>
          </w:p>
        </w:tc>
        <w:tc>
          <w:tcPr>
            <w:tcW w:type="dxa" w:w="746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必需字段</w:t>
            </w:r>
          </w:p>
        </w:tc>
      </w:tr>
      <w:tr>
        <w:tc>
          <w:tcPr>
            <w:tcW w:type="dxa" w:w="19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身份</w:t>
            </w:r>
          </w:p>
        </w:tc>
        <w:tc>
          <w:tcPr>
            <w:tcW w:type="dxa" w:w="74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trace_id、session_id、request_id、tenant_domain、experiment_run_id</w:t>
            </w:r>
          </w:p>
        </w:tc>
      </w:tr>
      <w:tr>
        <w:tc>
          <w:tcPr>
            <w:tcW w:type="dxa" w:w="19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模型兼容</w:t>
            </w:r>
          </w:p>
        </w:tc>
        <w:tc>
          <w:tcPr>
            <w:tcW w:type="dxa" w:w="74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model_revision、tokenizer_hash、adapter_id、engine_version、kv_layout、dtype、quantization</w:t>
            </w:r>
          </w:p>
        </w:tc>
      </w:tr>
      <w:tr>
        <w:tc>
          <w:tcPr>
            <w:tcW w:type="dxa" w:w="19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时序</w:t>
            </w:r>
          </w:p>
        </w:tc>
        <w:tc>
          <w:tcPr>
            <w:tcW w:type="dxa" w:w="74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arrival、prefill_start/end、decode_end、tool_start/end、resume、finish</w:t>
            </w:r>
          </w:p>
        </w:tc>
      </w:tr>
      <w:tr>
        <w:tc>
          <w:tcPr>
            <w:tcW w:type="dxa" w:w="19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Token</w:t>
            </w:r>
          </w:p>
        </w:tc>
        <w:tc>
          <w:tcPr>
            <w:tcW w:type="dxa" w:w="74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input_token_ids/hash、prefix_length、output_token_ids/hash、position/RoPE 配置</w:t>
            </w:r>
          </w:p>
        </w:tc>
      </w:tr>
      <w:tr>
        <w:tc>
          <w:tcPr>
            <w:tcW w:type="dxa" w:w="19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缓存事件</w:t>
            </w:r>
          </w:p>
        </w:tc>
        <w:tc>
          <w:tcPr>
            <w:tcW w:type="dxa" w:w="74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cache_key_hash、tier_before/after、bytes、lookup/queue/transfer/restore time、fallback_reason</w:t>
            </w:r>
          </w:p>
        </w:tc>
      </w:tr>
      <w:tr>
        <w:tc>
          <w:tcPr>
            <w:tcW w:type="dxa" w:w="19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任务结果</w:t>
            </w:r>
          </w:p>
        </w:tc>
        <w:tc>
          <w:tcPr>
            <w:tcW w:type="dxa" w:w="74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task_id、tests_passed、success、retry_count、failure_class</w:t>
            </w:r>
          </w:p>
        </w:tc>
      </w:tr>
      <w:tr>
        <w:tc>
          <w:tcPr>
            <w:tcW w:type="dxa" w:w="19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系统状态</w:t>
            </w:r>
          </w:p>
        </w:tc>
        <w:tc>
          <w:tcPr>
            <w:tcW w:type="dxa" w:w="74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GPU/CPU/DRAM/NVMe、温度、频率、功耗、Swap、I/O、并发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5. 基线与公平比较协议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900"/>
        <w:gridCol w:w="4020"/>
        <w:gridCol w:w="4440"/>
      </w:tblGrid>
      <w:tr>
        <w:trPr>
          <w:tblHeader w:val="true"/>
        </w:trPr>
        <w:tc>
          <w:tcPr>
            <w:tcW w:type="dxa" w:w="9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基线</w:t>
            </w:r>
          </w:p>
        </w:tc>
        <w:tc>
          <w:tcPr>
            <w:tcW w:type="dxa" w:w="402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444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它回答的问题</w:t>
            </w:r>
          </w:p>
        </w:tc>
      </w:tr>
      <w:tr>
        <w:tc>
          <w:tcPr>
            <w:tcW w:type="dxa" w:w="9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B0</w:t>
            </w:r>
          </w:p>
        </w:tc>
        <w:tc>
          <w:tcPr>
            <w:tcW w:type="dxa" w:w="40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无跨请求缓存；每次重新 Prefill</w:t>
            </w:r>
          </w:p>
        </w:tc>
        <w:tc>
          <w:tcPr>
            <w:tcW w:type="dxa" w:w="44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理论最大可节省量是多少？</w:t>
            </w:r>
          </w:p>
        </w:tc>
      </w:tr>
      <w:tr>
        <w:tc>
          <w:tcPr>
            <w:tcW w:type="dxa" w:w="9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B1</w:t>
            </w:r>
          </w:p>
        </w:tc>
        <w:tc>
          <w:tcPr>
            <w:tcW w:type="dxa" w:w="402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精确前缀＋LRU</w:t>
            </w:r>
          </w:p>
        </w:tc>
        <w:tc>
          <w:tcPr>
            <w:tcW w:type="dxa" w:w="444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本方法是否优于成熟常规前缀缓存？</w:t>
            </w:r>
          </w:p>
        </w:tc>
      </w:tr>
      <w:tr>
        <w:tc>
          <w:tcPr>
            <w:tcW w:type="dxa" w:w="9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B2</w:t>
            </w:r>
          </w:p>
        </w:tc>
        <w:tc>
          <w:tcPr>
            <w:tcW w:type="dxa" w:w="40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固定 TTL</w:t>
            </w:r>
          </w:p>
        </w:tc>
        <w:tc>
          <w:tcPr>
            <w:tcW w:type="dxa" w:w="44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复杂策略是否优于简单保留时间？</w:t>
            </w:r>
          </w:p>
        </w:tc>
      </w:tr>
      <w:tr>
        <w:tc>
          <w:tcPr>
            <w:tcW w:type="dxa" w:w="9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B3</w:t>
            </w:r>
          </w:p>
        </w:tc>
        <w:tc>
          <w:tcPr>
            <w:tcW w:type="dxa" w:w="402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返回概率预测</w:t>
            </w:r>
          </w:p>
        </w:tc>
        <w:tc>
          <w:tcPr>
            <w:tcW w:type="dxa" w:w="444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价值密度是否优于单纯预测？</w:t>
            </w:r>
          </w:p>
        </w:tc>
      </w:tr>
      <w:tr>
        <w:tc>
          <w:tcPr>
            <w:tcW w:type="dxa" w:w="9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B4</w:t>
            </w:r>
          </w:p>
        </w:tc>
        <w:tc>
          <w:tcPr>
            <w:tcW w:type="dxa" w:w="40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DRAM-only</w:t>
            </w:r>
          </w:p>
        </w:tc>
        <w:tc>
          <w:tcPr>
            <w:tcW w:type="dxa" w:w="44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NVMe 与联合决策是否提供额外价值？</w:t>
            </w:r>
          </w:p>
        </w:tc>
      </w:tr>
      <w:tr>
        <w:tc>
          <w:tcPr>
            <w:tcW w:type="dxa" w:w="9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B5</w:t>
            </w:r>
          </w:p>
        </w:tc>
        <w:tc>
          <w:tcPr>
            <w:tcW w:type="dxa" w:w="402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GPU＋DRAM＋NVMe＋重算联合策略</w:t>
            </w:r>
          </w:p>
        </w:tc>
        <w:tc>
          <w:tcPr>
            <w:tcW w:type="dxa" w:w="444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项目主方法是否改善冻结主指标？</w:t>
            </w:r>
          </w:p>
        </w:tc>
      </w:tr>
      <w:tr>
        <w:tc>
          <w:tcPr>
            <w:tcW w:type="dxa" w:w="9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B6</w:t>
            </w:r>
          </w:p>
        </w:tc>
        <w:tc>
          <w:tcPr>
            <w:tcW w:type="dxa" w:w="40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Provider Keepalive/Prompt Cache</w:t>
            </w:r>
          </w:p>
        </w:tc>
        <w:tc>
          <w:tcPr>
            <w:tcW w:type="dxa" w:w="44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商业 API 的经济与体验对照；不混入本地性能排名</w:t>
            </w:r>
          </w:p>
        </w:tc>
      </w:tr>
    </w:tbl>
    <w:p>
      <w:pPr>
        <w:spacing w:after="0"/>
      </w:pPr>
    </w:p>
    <w:p>
      <w:pPr>
        <w:pStyle w:val="Heading1"/>
      </w:pPr>
      <w:r>
        <w:t>5.1 公平性冻结项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相同模型与权重、Tokenizer、Prompt Token、输出长度与解码配置。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相同请求顺序、硬件、并发、缓存总预算、预热与统计窗口。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B0–B5 使用配对 Trace；运行顺序随机化或交错，避免时间漂移。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缓存预算按可用字节对齐，不能给某策略额外 GPU/DRAM/NVMe 空间。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B6 单独报告价格、TTFT、任务成功与限制；不与不可见基础设施做直接性能排名。</w:t>
      </w:r>
    </w:p>
    <w:p>
      <w:pPr>
        <w:pStyle w:val="Heading1"/>
      </w:pPr>
      <w:r>
        <w:t>5.2 B5 决策输出与审计</w:t>
      </w:r>
    </w:p>
    <w:p>
      <w:r>
        <w:rPr>
          <w:rFonts w:ascii="Aptos" w:hAnsi="Aptos" w:eastAsia="Microsoft YaHei"/>
          <w:b w:val="0"/>
          <w:i w:val="0"/>
          <w:color w:val="111827"/>
          <w:sz w:val="20"/>
        </w:rPr>
        <w:t>B5 每次动作必须记录候选层级的预计收益、实际动作、预测返回概率、字节数、迁移成本、最终恢复路径、是否回退以及原因。策略只输出可审计决策，不允许以不可解释的全局状态掩盖错误命中或资源超额。</w:t>
      </w:r>
    </w:p>
    <w:p>
      <w:pPr>
        <w:pStyle w:val="Title"/>
      </w:pPr>
      <w:r>
        <w:t>6. 实验矩阵 M0–M8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1050"/>
        <w:gridCol w:w="2550"/>
        <w:gridCol w:w="2700"/>
        <w:gridCol w:w="3060"/>
      </w:tblGrid>
      <w:tr>
        <w:trPr>
          <w:tblHeader w:val="true"/>
        </w:trPr>
        <w:tc>
          <w:tcPr>
            <w:tcW w:type="dxa" w:w="105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实验组</w:t>
            </w:r>
          </w:p>
        </w:tc>
        <w:tc>
          <w:tcPr>
            <w:tcW w:type="dxa" w:w="255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核心任务</w:t>
            </w:r>
          </w:p>
        </w:tc>
        <w:tc>
          <w:tcPr>
            <w:tcW w:type="dxa" w:w="27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进入条件</w:t>
            </w:r>
          </w:p>
        </w:tc>
        <w:tc>
          <w:tcPr>
            <w:tcW w:type="dxa" w:w="306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退出证据</w:t>
            </w:r>
          </w:p>
        </w:tc>
      </w:tr>
      <w:tr>
        <w:tc>
          <w:tcPr>
            <w:tcW w:type="dxa" w:w="10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M0 Smoke Test</w:t>
            </w:r>
          </w:p>
        </w:tc>
        <w:tc>
          <w:tcPr>
            <w:tcW w:type="dxa" w:w="25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打通模型、Trace、指标与 Manifest</w:t>
            </w:r>
          </w:p>
        </w:tc>
        <w:tc>
          <w:tcPr>
            <w:tcW w:type="dxa" w:w="27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环境审计完成</w:t>
            </w:r>
          </w:p>
        </w:tc>
        <w:tc>
          <w:tcPr>
            <w:tcW w:type="dxa" w:w="30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最小请求可复现；指标链路完整</w:t>
            </w:r>
          </w:p>
        </w:tc>
      </w:tr>
      <w:tr>
        <w:tc>
          <w:tcPr>
            <w:tcW w:type="dxa" w:w="10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M1 微基准</w:t>
            </w:r>
          </w:p>
        </w:tc>
        <w:tc>
          <w:tcPr>
            <w:tcW w:type="dxa" w:w="25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GPU/DRAM/NVMe 恢复与重算曲线</w:t>
            </w:r>
          </w:p>
        </w:tc>
        <w:tc>
          <w:tcPr>
            <w:tcW w:type="dxa" w:w="27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M0 通过</w:t>
            </w:r>
          </w:p>
        </w:tc>
        <w:tc>
          <w:tcPr>
            <w:tcW w:type="dxa" w:w="30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按 Token/字节/并发得到 break-even</w:t>
            </w:r>
          </w:p>
        </w:tc>
      </w:tr>
      <w:tr>
        <w:tc>
          <w:tcPr>
            <w:tcW w:type="dxa" w:w="10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M2 合成因果</w:t>
            </w:r>
          </w:p>
        </w:tc>
        <w:tc>
          <w:tcPr>
            <w:tcW w:type="dxa" w:w="25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单独改变长度、暂停、并发、压力</w:t>
            </w:r>
          </w:p>
        </w:tc>
        <w:tc>
          <w:tcPr>
            <w:tcW w:type="dxa" w:w="27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M1 边界可用</w:t>
            </w:r>
          </w:p>
        </w:tc>
        <w:tc>
          <w:tcPr>
            <w:tcW w:type="dxa" w:w="30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主效应与交互效应可解释</w:t>
            </w:r>
          </w:p>
        </w:tc>
      </w:tr>
      <w:tr>
        <w:tc>
          <w:tcPr>
            <w:tcW w:type="dxa" w:w="10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M3 真实结构</w:t>
            </w:r>
          </w:p>
        </w:tc>
        <w:tc>
          <w:tcPr>
            <w:tcW w:type="dxa" w:w="25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W1 的 R1 回放</w:t>
            </w:r>
          </w:p>
        </w:tc>
        <w:tc>
          <w:tcPr>
            <w:tcW w:type="dxa" w:w="27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Trace 合法性检查</w:t>
            </w:r>
          </w:p>
        </w:tc>
        <w:tc>
          <w:tcPr>
            <w:tcW w:type="dxa" w:w="30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真实分布下容量与调度结果</w:t>
            </w:r>
          </w:p>
        </w:tc>
      </w:tr>
      <w:tr>
        <w:tc>
          <w:tcPr>
            <w:tcW w:type="dxa" w:w="10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M4 Token 精确</w:t>
            </w:r>
          </w:p>
        </w:tc>
        <w:tc>
          <w:tcPr>
            <w:tcW w:type="dxa" w:w="25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W2 的 R2 回放</w:t>
            </w:r>
          </w:p>
        </w:tc>
        <w:tc>
          <w:tcPr>
            <w:tcW w:type="dxa" w:w="27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B0/B1 正确性通过</w:t>
            </w:r>
          </w:p>
        </w:tc>
        <w:tc>
          <w:tcPr>
            <w:tcW w:type="dxa" w:w="30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输出 Token 一致并可配对比较</w:t>
            </w:r>
          </w:p>
        </w:tc>
      </w:tr>
      <w:tr>
        <w:tc>
          <w:tcPr>
            <w:tcW w:type="dxa" w:w="10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M5 端到端 Agent</w:t>
            </w:r>
          </w:p>
        </w:tc>
        <w:tc>
          <w:tcPr>
            <w:tcW w:type="dxa" w:w="25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W2 的 R3 运行</w:t>
            </w:r>
          </w:p>
        </w:tc>
        <w:tc>
          <w:tcPr>
            <w:tcW w:type="dxa" w:w="27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任务 Harness 冻结</w:t>
            </w:r>
          </w:p>
        </w:tc>
        <w:tc>
          <w:tcPr>
            <w:tcW w:type="dxa" w:w="30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成功率、完成时间、每成功任务成本</w:t>
            </w:r>
          </w:p>
        </w:tc>
      </w:tr>
      <w:tr>
        <w:tc>
          <w:tcPr>
            <w:tcW w:type="dxa" w:w="10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M6 消融</w:t>
            </w:r>
          </w:p>
        </w:tc>
        <w:tc>
          <w:tcPr>
            <w:tcW w:type="dxa" w:w="25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逐项关闭 B5 组件</w:t>
            </w:r>
          </w:p>
        </w:tc>
        <w:tc>
          <w:tcPr>
            <w:tcW w:type="dxa" w:w="27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B5 可稳定运行</w:t>
            </w:r>
          </w:p>
        </w:tc>
        <w:tc>
          <w:tcPr>
            <w:tcW w:type="dxa" w:w="30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识别实际贡献与负作用</w:t>
            </w:r>
          </w:p>
        </w:tc>
      </w:tr>
      <w:tr>
        <w:tc>
          <w:tcPr>
            <w:tcW w:type="dxa" w:w="10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M7 安全异常</w:t>
            </w:r>
          </w:p>
        </w:tc>
        <w:tc>
          <w:tcPr>
            <w:tcW w:type="dxa" w:w="25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错误键、损坏、跨租户、I/O/进程异常</w:t>
            </w:r>
          </w:p>
        </w:tc>
        <w:tc>
          <w:tcPr>
            <w:tcW w:type="dxa" w:w="27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兼容键与校验实现</w:t>
            </w:r>
          </w:p>
        </w:tc>
        <w:tc>
          <w:tcPr>
            <w:tcW w:type="dxa" w:w="30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错误被拒绝并安全回退</w:t>
            </w:r>
          </w:p>
        </w:tc>
      </w:tr>
      <w:tr>
        <w:tc>
          <w:tcPr>
            <w:tcW w:type="dxa" w:w="10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M8 泛化</w:t>
            </w:r>
          </w:p>
        </w:tc>
        <w:tc>
          <w:tcPr>
            <w:tcW w:type="dxa" w:w="25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其他模型/架构/硬件/任务</w:t>
            </w:r>
          </w:p>
        </w:tc>
        <w:tc>
          <w:tcPr>
            <w:tcW w:type="dxa" w:w="27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核心主线完成</w:t>
            </w:r>
          </w:p>
        </w:tc>
        <w:tc>
          <w:tcPr>
            <w:tcW w:type="dxa" w:w="30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5"/>
              </w:rPr>
              <w:t>识别通用规律与设备特有结论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6.1 M1 必须先于复杂策略</w:t>
      </w:r>
    </w:p>
    <w:p>
      <w:r>
        <w:rPr>
          <w:rFonts w:ascii="Aptos" w:hAnsi="Aptos" w:eastAsia="Microsoft YaHei"/>
          <w:b w:val="0"/>
          <w:i w:val="0"/>
          <w:color w:val="111827"/>
          <w:sz w:val="20"/>
        </w:rPr>
        <w:t>M1 直接测量不同 Token 长度、KV 字节数与并发条件下的 GPU 命中、DRAM 恢复、NVMe 冷/热恢复和重新 Prefill。其输出是 break-even 曲线，而非预设“NVMe 必然有效”。如果当前设备上 NVMe 在全部可行区间都慢于重算，正式结论应记录其无效边界，B5 仍可退化为 GPU/DRAM/重算策略。</w:t>
      </w:r>
    </w:p>
    <w:p>
      <w:pPr>
        <w:pStyle w:val="Heading1"/>
      </w:pPr>
      <w:r>
        <w:t>6.2 M6 消融集合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无 NVMe：判断第三层是否贡献正收益。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无返回概率预测：判断预测信息的边际价值。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无价值密度：改为传统容量/时间策略。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无异步迁移：测量传输重叠的贡献。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无 Prompt 规范化/布局优化：测量 G5 贡献。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LRU 替代联合策略：与最强简单策略直接比较。</w:t>
      </w:r>
    </w:p>
    <w:p>
      <w:pPr>
        <w:pStyle w:val="Heading1"/>
      </w:pPr>
      <w:r>
        <w:t>6.3 推荐执行顺序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800"/>
        <w:gridCol w:w="4960"/>
        <w:gridCol w:w="3600"/>
      </w:tblGrid>
      <w:tr>
        <w:trPr>
          <w:tblHeader w:val="true"/>
        </w:trPr>
        <w:tc>
          <w:tcPr>
            <w:tcW w:type="dxa" w:w="8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496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动作</w:t>
            </w:r>
          </w:p>
        </w:tc>
        <w:tc>
          <w:tcPr>
            <w:tcW w:type="dxa" w:w="36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门控</w:t>
            </w:r>
          </w:p>
        </w:tc>
      </w:tr>
      <w:tr>
        <w:tc>
          <w:tcPr>
            <w:tcW w:type="dxa" w:w="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1</w:t>
            </w:r>
          </w:p>
        </w:tc>
        <w:tc>
          <w:tcPr>
            <w:tcW w:type="dxa" w:w="49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只读环境盘点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不修改驱动或现有环境</w:t>
            </w:r>
          </w:p>
        </w:tc>
      </w:tr>
      <w:tr>
        <w:tc>
          <w:tcPr>
            <w:tcW w:type="dxa" w:w="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2</w:t>
            </w:r>
          </w:p>
        </w:tc>
        <w:tc>
          <w:tcPr>
            <w:tcW w:type="dxa" w:w="49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建立独立私有实验仓库和隔离环境</w:t>
            </w:r>
          </w:p>
        </w:tc>
        <w:tc>
          <w:tcPr>
            <w:tcW w:type="dxa" w:w="36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与 cuSZp 等现有项目隔离</w:t>
            </w:r>
          </w:p>
        </w:tc>
      </w:tr>
      <w:tr>
        <w:tc>
          <w:tcPr>
            <w:tcW w:type="dxa" w:w="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49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验证最小模型推理与 Trace Schema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形成 M0</w:t>
            </w:r>
          </w:p>
        </w:tc>
      </w:tr>
      <w:tr>
        <w:tc>
          <w:tcPr>
            <w:tcW w:type="dxa" w:w="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49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实现 B0/B1 和严格正确性验证</w:t>
            </w:r>
          </w:p>
        </w:tc>
        <w:tc>
          <w:tcPr>
            <w:tcW w:type="dxa" w:w="36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Token 一致</w:t>
            </w:r>
          </w:p>
        </w:tc>
      </w:tr>
      <w:tr>
        <w:tc>
          <w:tcPr>
            <w:tcW w:type="dxa" w:w="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5</w:t>
            </w:r>
          </w:p>
        </w:tc>
        <w:tc>
          <w:tcPr>
            <w:tcW w:type="dxa" w:w="49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执行 M1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冻结收益边界测量法</w:t>
            </w:r>
          </w:p>
        </w:tc>
      </w:tr>
      <w:tr>
        <w:tc>
          <w:tcPr>
            <w:tcW w:type="dxa" w:w="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6</w:t>
            </w:r>
          </w:p>
        </w:tc>
        <w:tc>
          <w:tcPr>
            <w:tcW w:type="dxa" w:w="49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实现 B2–B4，再实现 B5</w:t>
            </w:r>
          </w:p>
        </w:tc>
        <w:tc>
          <w:tcPr>
            <w:tcW w:type="dxa" w:w="36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每一步保留强基线</w:t>
            </w:r>
          </w:p>
        </w:tc>
      </w:tr>
      <w:tr>
        <w:tc>
          <w:tcPr>
            <w:tcW w:type="dxa" w:w="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7</w:t>
            </w:r>
          </w:p>
        </w:tc>
        <w:tc>
          <w:tcPr>
            <w:tcW w:type="dxa" w:w="49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W3/W1/W2 Pilot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确定预算、并发、重复、超时</w:t>
            </w:r>
          </w:p>
        </w:tc>
      </w:tr>
      <w:tr>
        <w:tc>
          <w:tcPr>
            <w:tcW w:type="dxa" w:w="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8</w:t>
            </w:r>
          </w:p>
        </w:tc>
        <w:tc>
          <w:tcPr>
            <w:tcW w:type="dxa" w:w="49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冻结 Core 参数</w:t>
            </w:r>
          </w:p>
        </w:tc>
        <w:tc>
          <w:tcPr>
            <w:tcW w:type="dxa" w:w="36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Pilot 数据不进入 Core</w:t>
            </w:r>
          </w:p>
        </w:tc>
      </w:tr>
      <w:tr>
        <w:tc>
          <w:tcPr>
            <w:tcW w:type="dxa" w:w="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9</w:t>
            </w:r>
          </w:p>
        </w:tc>
        <w:tc>
          <w:tcPr>
            <w:tcW w:type="dxa" w:w="49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执行 M2–M7 Core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配对、随机化、完整日志</w:t>
            </w:r>
          </w:p>
        </w:tc>
      </w:tr>
      <w:tr>
        <w:tc>
          <w:tcPr>
            <w:tcW w:type="dxa" w:w="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10</w:t>
            </w:r>
          </w:p>
        </w:tc>
        <w:tc>
          <w:tcPr>
            <w:tcW w:type="dxa" w:w="49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按资源推进 G6/M8</w:t>
            </w:r>
          </w:p>
        </w:tc>
        <w:tc>
          <w:tcPr>
            <w:tcW w:type="dxa" w:w="36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不得阻塞主线结论</w:t>
            </w:r>
          </w:p>
        </w:tc>
      </w:tr>
    </w:tbl>
    <w:p>
      <w:pPr>
        <w:spacing w:after="0"/>
      </w:pPr>
    </w:p>
    <w:p>
      <w:pPr>
        <w:pStyle w:val="Title"/>
      </w:pPr>
      <w:r>
        <w:t>7. 指标、正确性与统计协议</w:t>
      </w:r>
    </w:p>
    <w:p>
      <w:pPr>
        <w:pStyle w:val="Heading1"/>
      </w:pPr>
      <w:r>
        <w:t>7.1 主指标与辅助指标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1350"/>
        <w:gridCol w:w="5060"/>
        <w:gridCol w:w="2950"/>
      </w:tblGrid>
      <w:tr>
        <w:trPr>
          <w:tblHeader w:val="true"/>
        </w:trPr>
        <w:tc>
          <w:tcPr>
            <w:tcW w:type="dxa" w:w="135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层级</w:t>
            </w:r>
          </w:p>
        </w:tc>
        <w:tc>
          <w:tcPr>
            <w:tcW w:type="dxa" w:w="506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295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3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硬门槛</w:t>
            </w:r>
          </w:p>
        </w:tc>
        <w:tc>
          <w:tcPr>
            <w:tcW w:type="dxa" w:w="50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缓存身份、Shape/dtype/校验和、Logit 容差、输出 Token、任务正确性</w:t>
            </w:r>
          </w:p>
        </w:tc>
        <w:tc>
          <w:tcPr>
            <w:tcW w:type="dxa" w:w="29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决定性能结果是否有资格统计</w:t>
            </w:r>
          </w:p>
        </w:tc>
      </w:tr>
      <w:tr>
        <w:tc>
          <w:tcPr>
            <w:tcW w:type="dxa" w:w="13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主指标</w:t>
            </w:r>
          </w:p>
        </w:tc>
        <w:tc>
          <w:tcPr>
            <w:tcW w:type="dxa" w:w="50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有效 Token 命中率、P95 TTFT、Session Completion Time、每成功任务成本</w:t>
            </w:r>
          </w:p>
        </w:tc>
        <w:tc>
          <w:tcPr>
            <w:tcW w:type="dxa" w:w="29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支撑 RQ2–RQ4</w:t>
            </w:r>
          </w:p>
        </w:tc>
      </w:tr>
      <w:tr>
        <w:tc>
          <w:tcPr>
            <w:tcW w:type="dxa" w:w="13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辅助指标</w:t>
            </w:r>
          </w:p>
        </w:tc>
        <w:tc>
          <w:tcPr>
            <w:tcW w:type="dxa" w:w="50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理论命中、驻留命中、P50/P99、Prefill 节省、迁移字节/时间、回退率、GPU 利用率、能耗、重试</w:t>
            </w:r>
          </w:p>
        </w:tc>
        <w:tc>
          <w:tcPr>
            <w:tcW w:type="dxa" w:w="29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解释机制与尾部行为</w:t>
            </w:r>
          </w:p>
        </w:tc>
      </w:tr>
    </w:tbl>
    <w:p>
      <w:pPr>
        <w:spacing w:after="0"/>
      </w:pPr>
    </w:p>
    <w:p>
      <w:pPr>
        <w:pStyle w:val="Heading1"/>
      </w:pPr>
      <w:r>
        <w:t>7.2 正确性门槛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输入 Token 必须完全一致。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模型、Tokenizer、Adapter、Position/RoPE、dtype、量化、KV 布局、引擎与 Kernel 版本必须兼容。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缓存形状、长度、校验和和原子写入状态必须有效。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精确前缀实验：任何输出 Token 不一致均为硬失败。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Logit/隐藏状态比较用于诊断，不替代 Token 级硬门槛。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端到端实验必须报告任务测试、成功率和重试，不允许只看文本相似度。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任何未通过正确性门槛的 Run 不进入性能结论。</w:t>
      </w:r>
    </w:p>
    <w:p>
      <w:pPr>
        <w:pStyle w:val="Heading1"/>
      </w:pPr>
      <w:r>
        <w:t>7.3 Pilot 与 Core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1500"/>
        <w:gridCol w:w="4000"/>
        <w:gridCol w:w="3860"/>
      </w:tblGrid>
      <w:tr>
        <w:trPr>
          <w:tblHeader w:val="true"/>
        </w:trPr>
        <w:tc>
          <w:tcPr>
            <w:tcW w:type="dxa" w:w="15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40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允许决定</w:t>
            </w:r>
          </w:p>
        </w:tc>
        <w:tc>
          <w:tcPr>
            <w:tcW w:type="dxa" w:w="386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禁止事项</w:t>
            </w:r>
          </w:p>
        </w:tc>
      </w:tr>
      <w:tr>
        <w:tc>
          <w:tcPr>
            <w:tcW w:type="dxa" w:w="15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Pilot</w:t>
            </w:r>
          </w:p>
        </w:tc>
        <w:tc>
          <w:tcPr>
            <w:tcW w:type="dxa" w:w="40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安全缓存容量、并发范围、预热长度、重复次数、超时、噪声、异常阈值</w:t>
            </w:r>
          </w:p>
        </w:tc>
        <w:tc>
          <w:tcPr>
            <w:tcW w:type="dxa" w:w="38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不得与 Core 合并；不得作为最终效果</w:t>
            </w:r>
          </w:p>
        </w:tc>
      </w:tr>
      <w:tr>
        <w:tc>
          <w:tcPr>
            <w:tcW w:type="dxa" w:w="15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Core</w:t>
            </w:r>
          </w:p>
        </w:tc>
        <w:tc>
          <w:tcPr>
            <w:tcW w:type="dxa" w:w="40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在冻结参数上执行正式比较</w:t>
            </w:r>
          </w:p>
        </w:tc>
        <w:tc>
          <w:tcPr>
            <w:tcW w:type="dxa" w:w="38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不得边看结果边修改主指标、基线、超时或异常规则</w:t>
            </w:r>
          </w:p>
        </w:tc>
      </w:tr>
    </w:tbl>
    <w:p>
      <w:pPr>
        <w:spacing w:after="0"/>
      </w:pPr>
    </w:p>
    <w:p>
      <w:pPr>
        <w:pStyle w:val="Heading1"/>
      </w:pPr>
      <w:r>
        <w:t>7.4 统计计划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B0–B5 使用相同 Trace 的配对比较；运行顺序随机化或交错。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报告样本数、重复次数、中位数、P95，并提供置信区间与效应量。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对 TTFT、完成时间和成本使用与分布相符的稳健统计；保留原始请求级结果。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分层报告完全命中、部分命中、未命中、负收益命中和回退。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在 Core 前根据 Pilot 冻结最小可检测效应和重复次数；不得事后挑选切片。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原 70%、95%、90% 和 10% 仅作为候选目标，不能作为已经实现的结论。</w:t>
      </w:r>
    </w:p>
    <w:p>
      <w:pPr>
        <w:pStyle w:val="Title"/>
      </w:pPr>
      <w:r>
        <w:t>8. 安全、隔离与异常处理</w:t>
      </w:r>
    </w:p>
    <w:p>
      <w:pPr>
        <w:pStyle w:val="Heading1"/>
      </w:pPr>
      <w:r>
        <w:t>8.1 兼容键与信任域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类别</w:t>
            </w:r>
          </w:p>
        </w:tc>
        <w:tc>
          <w:tcPr>
            <w:tcW w:type="dxa" w:w="756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必须绑定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模型身份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模型名称、精确 Revision、权重哈希、Tokenizer 哈希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执行身份</w:t>
            </w:r>
          </w:p>
        </w:tc>
        <w:tc>
          <w:tcPr>
            <w:tcW w:type="dxa" w:w="75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引擎版本、Kernel 版本、Attention 实现、KV Layout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数值配置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dtype、量化、层数、KV Heads、Head Dimension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位置语义</w:t>
            </w:r>
          </w:p>
        </w:tc>
        <w:tc>
          <w:tcPr>
            <w:tcW w:type="dxa" w:w="75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Position IDs、RoPE/缩放配置、前缀 Token 长度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扩展组件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LoRA、Adapter、Prompt 模板和系统指令版本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安全域</w:t>
            </w:r>
          </w:p>
        </w:tc>
        <w:tc>
          <w:tcPr>
            <w:tcW w:type="dxa" w:w="75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租户、项目、信任域、每域独立 Salt、访问权限</w:t>
            </w:r>
          </w:p>
        </w:tc>
      </w:tr>
    </w:tbl>
    <w:p>
      <w:pPr>
        <w:spacing w:after="0"/>
      </w:pPr>
    </w:p>
    <w:p>
      <w:pPr>
        <w:pStyle w:val="Heading1"/>
      </w:pPr>
      <w:r>
        <w:t>8.2 完整性与隐私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缓存键使用密码学哈希；每个信任域使用独立 Salt。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缓存文件使用最小访问权限、校验和与原子写入。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日志与 Trace 脱敏，不记录可还原私有 Prompt 的明文或稳定跨域标识。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M7 必须覆盖跨租户、跨版本、错误 dtype/布局、截断文件、位翻转、部分写入和陈旧索引。</w:t>
      </w:r>
    </w:p>
    <w:p>
      <w:pPr>
        <w:pStyle w:val="Heading1"/>
      </w:pPr>
      <w:r>
        <w:t>8.3 异常分类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1600"/>
        <w:gridCol w:w="4460"/>
        <w:gridCol w:w="3300"/>
      </w:tblGrid>
      <w:tr>
        <w:trPr>
          <w:tblHeader w:val="true"/>
        </w:trPr>
        <w:tc>
          <w:tcPr>
            <w:tcW w:type="dxa" w:w="16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异常</w:t>
            </w:r>
          </w:p>
        </w:tc>
        <w:tc>
          <w:tcPr>
            <w:tcW w:type="dxa" w:w="446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处理</w:t>
            </w:r>
          </w:p>
        </w:tc>
        <w:tc>
          <w:tcPr>
            <w:tcW w:type="dxa" w:w="33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计入方式</w:t>
            </w:r>
          </w:p>
        </w:tc>
      </w:tr>
      <w:tr>
        <w:tc>
          <w:tcPr>
            <w:tcW w:type="dxa" w:w="1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正常 Cache Miss</w:t>
            </w:r>
          </w:p>
        </w:tc>
        <w:tc>
          <w:tcPr>
            <w:tcW w:type="dxa" w:w="44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当前请求重算</w:t>
            </w:r>
          </w:p>
        </w:tc>
        <w:tc>
          <w:tcPr>
            <w:tcW w:type="dxa" w:w="33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正常系统行为</w:t>
            </w:r>
          </w:p>
        </w:tc>
      </w:tr>
      <w:tr>
        <w:tc>
          <w:tcPr>
            <w:tcW w:type="dxa" w:w="16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身份/校验失败</w:t>
            </w:r>
          </w:p>
        </w:tc>
        <w:tc>
          <w:tcPr>
            <w:tcW w:type="dxa" w:w="44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拒绝缓存并安全重算</w:t>
            </w:r>
          </w:p>
        </w:tc>
        <w:tc>
          <w:tcPr>
            <w:tcW w:type="dxa" w:w="33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回退与安全事件</w:t>
            </w:r>
          </w:p>
        </w:tc>
      </w:tr>
      <w:tr>
        <w:tc>
          <w:tcPr>
            <w:tcW w:type="dxa" w:w="1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方法自身 OOM/超时</w:t>
            </w:r>
          </w:p>
        </w:tc>
        <w:tc>
          <w:tcPr>
            <w:tcW w:type="dxa" w:w="44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终止或回退，保留证据</w:t>
            </w:r>
          </w:p>
        </w:tc>
        <w:tc>
          <w:tcPr>
            <w:tcW w:type="dxa" w:w="33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方法失败，不得作废隐藏</w:t>
            </w:r>
          </w:p>
        </w:tc>
      </w:tr>
      <w:tr>
        <w:tc>
          <w:tcPr>
            <w:tcW w:type="dxa" w:w="16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驱动重启、Swap、严重降频、外部进程污染</w:t>
            </w:r>
          </w:p>
        </w:tc>
        <w:tc>
          <w:tcPr>
            <w:tcW w:type="dxa" w:w="44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整批 Run 作废</w:t>
            </w:r>
          </w:p>
        </w:tc>
        <w:tc>
          <w:tcPr>
            <w:tcW w:type="dxa" w:w="33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环境无效；修复后新 run_id</w:t>
            </w:r>
          </w:p>
        </w:tc>
      </w:tr>
      <w:tr>
        <w:tc>
          <w:tcPr>
            <w:tcW w:type="dxa" w:w="1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KV 损坏或错误命中</w:t>
            </w:r>
          </w:p>
        </w:tc>
        <w:tc>
          <w:tcPr>
            <w:tcW w:type="dxa" w:w="44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立即停止相关实验并定位</w:t>
            </w:r>
          </w:p>
        </w:tc>
        <w:tc>
          <w:tcPr>
            <w:tcW w:type="dxa" w:w="33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正确性硬失败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</w:pPr>
      <w:r>
        <w:t>9. 硬件、软件与容量计划</w:t>
      </w:r>
    </w:p>
    <w:p>
      <w:pPr>
        <w:pStyle w:val="Heading1"/>
      </w:pPr>
      <w:r>
        <w:t>9.1 首期硬件边界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1500"/>
        <w:gridCol w:w="3370"/>
        <w:gridCol w:w="4490"/>
      </w:tblGrid>
      <w:tr>
        <w:trPr>
          <w:tblHeader w:val="true"/>
        </w:trPr>
        <w:tc>
          <w:tcPr>
            <w:tcW w:type="dxa" w:w="15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资源</w:t>
            </w:r>
          </w:p>
        </w:tc>
        <w:tc>
          <w:tcPr>
            <w:tcW w:type="dxa" w:w="337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已知条件</w:t>
            </w:r>
          </w:p>
        </w:tc>
        <w:tc>
          <w:tcPr>
            <w:tcW w:type="dxa" w:w="449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Stage 1 需要测量</w:t>
            </w:r>
          </w:p>
        </w:tc>
      </w:tr>
      <w:tr>
        <w:tc>
          <w:tcPr>
            <w:tcW w:type="dxa" w:w="15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GPU</w:t>
            </w:r>
          </w:p>
        </w:tc>
        <w:tc>
          <w:tcPr>
            <w:tcW w:type="dxa" w:w="337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RTX 5090，32GB GDDR7</w:t>
            </w:r>
          </w:p>
        </w:tc>
        <w:tc>
          <w:tcPr>
            <w:tcW w:type="dxa" w:w="449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驱动、显存可用、频率、功耗、PCIe、温度</w:t>
            </w:r>
          </w:p>
        </w:tc>
      </w:tr>
      <w:tr>
        <w:tc>
          <w:tcPr>
            <w:tcW w:type="dxa" w:w="15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系统内存</w:t>
            </w:r>
          </w:p>
        </w:tc>
        <w:tc>
          <w:tcPr>
            <w:tcW w:type="dxa" w:w="337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64GB</w:t>
            </w:r>
          </w:p>
        </w:tc>
        <w:tc>
          <w:tcPr>
            <w:tcW w:type="dxa" w:w="449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实际可用、NUMA、带宽、Swap、页缓存影响</w:t>
            </w:r>
          </w:p>
        </w:tc>
      </w:tr>
      <w:tr>
        <w:tc>
          <w:tcPr>
            <w:tcW w:type="dxa" w:w="15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NVMe</w:t>
            </w:r>
          </w:p>
        </w:tc>
        <w:tc>
          <w:tcPr>
            <w:tcW w:type="dxa" w:w="337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本地设备；容量与型号待审计</w:t>
            </w:r>
          </w:p>
        </w:tc>
        <w:tc>
          <w:tcPr>
            <w:tcW w:type="dxa" w:w="449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文件系统、剩余空间、顺序/随机、小/大块、并发、冷/热 P95/P99</w:t>
            </w:r>
          </w:p>
        </w:tc>
      </w:tr>
      <w:tr>
        <w:tc>
          <w:tcPr>
            <w:tcW w:type="dxa" w:w="15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CPU</w:t>
            </w:r>
          </w:p>
        </w:tc>
        <w:tc>
          <w:tcPr>
            <w:tcW w:type="dxa" w:w="337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待审计</w:t>
            </w:r>
          </w:p>
        </w:tc>
        <w:tc>
          <w:tcPr>
            <w:tcW w:type="dxa" w:w="449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型号、核数、内存复制、校验与 I/O 开销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  <w:b w:val="0"/>
          <w:i w:val="0"/>
          <w:color w:val="111827"/>
          <w:sz w:val="20"/>
        </w:rPr>
        <w:t>DRAM 缓存初期可考虑约 24–40GB 候选范围，但不得预先写死。必须为 Ubuntu、Python、推理引擎、Agent、Tokenizer、分析、文件系统页缓存与 I/O Buffer 留出空间。NVMe 建议至少预留约 200–300GB；若长期保存多个模型、Trace 和结果，500GB 以上更舒适，但实际要求由环境审计决定。</w:t>
      </w:r>
    </w:p>
    <w:p>
      <w:pPr>
        <w:pStyle w:val="Heading1"/>
      </w:pPr>
      <w:r>
        <w:t>9.2 软件栈与进入时机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1600"/>
        <w:gridCol w:w="5000"/>
        <w:gridCol w:w="2760"/>
      </w:tblGrid>
      <w:tr>
        <w:trPr>
          <w:tblHeader w:val="true"/>
        </w:trPr>
        <w:tc>
          <w:tcPr>
            <w:tcW w:type="dxa" w:w="16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技术</w:t>
            </w:r>
          </w:p>
        </w:tc>
        <w:tc>
          <w:tcPr>
            <w:tcW w:type="dxa" w:w="50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用途</w:t>
            </w:r>
          </w:p>
        </w:tc>
        <w:tc>
          <w:tcPr>
            <w:tcW w:type="dxa" w:w="276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Stage 1 起步是否必须</w:t>
            </w:r>
          </w:p>
        </w:tc>
      </w:tr>
      <w:tr>
        <w:tc>
          <w:tcPr>
            <w:tcW w:type="dxa" w:w="1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Python</w:t>
            </w:r>
          </w:p>
        </w:tc>
        <w:tc>
          <w:tcPr>
            <w:tcW w:type="dxa" w:w="50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推理、Trace、策略、实验、分析</w:t>
            </w:r>
          </w:p>
        </w:tc>
        <w:tc>
          <w:tcPr>
            <w:tcW w:type="dxa" w:w="27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必须</w:t>
            </w:r>
          </w:p>
        </w:tc>
      </w:tr>
      <w:tr>
        <w:tc>
          <w:tcPr>
            <w:tcW w:type="dxa" w:w="16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Bash</w:t>
            </w:r>
          </w:p>
        </w:tc>
        <w:tc>
          <w:tcPr>
            <w:tcW w:type="dxa" w:w="50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只读检查与启动脚本</w:t>
            </w:r>
          </w:p>
        </w:tc>
        <w:tc>
          <w:tcPr>
            <w:tcW w:type="dxa" w:w="27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少量</w:t>
            </w:r>
          </w:p>
        </w:tc>
      </w:tr>
      <w:tr>
        <w:tc>
          <w:tcPr>
            <w:tcW w:type="dxa" w:w="1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YAML/JSON</w:t>
            </w:r>
          </w:p>
        </w:tc>
        <w:tc>
          <w:tcPr>
            <w:tcW w:type="dxa" w:w="50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配置、Schema、Manifest</w:t>
            </w:r>
          </w:p>
        </w:tc>
        <w:tc>
          <w:tcPr>
            <w:tcW w:type="dxa" w:w="27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必须</w:t>
            </w:r>
          </w:p>
        </w:tc>
      </w:tr>
      <w:tr>
        <w:tc>
          <w:tcPr>
            <w:tcW w:type="dxa" w:w="16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Parquet/PyArrow</w:t>
            </w:r>
          </w:p>
        </w:tc>
        <w:tc>
          <w:tcPr>
            <w:tcW w:type="dxa" w:w="50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请求级与事件级结果</w:t>
            </w:r>
          </w:p>
        </w:tc>
        <w:tc>
          <w:tcPr>
            <w:tcW w:type="dxa" w:w="27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推荐</w:t>
            </w:r>
          </w:p>
        </w:tc>
      </w:tr>
      <w:tr>
        <w:tc>
          <w:tcPr>
            <w:tcW w:type="dxa" w:w="1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DuckDB/SQL</w:t>
            </w:r>
          </w:p>
        </w:tc>
        <w:tc>
          <w:tcPr>
            <w:tcW w:type="dxa" w:w="50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大规模结果查询</w:t>
            </w:r>
          </w:p>
        </w:tc>
        <w:tc>
          <w:tcPr>
            <w:tcW w:type="dxa" w:w="27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推荐</w:t>
            </w:r>
          </w:p>
        </w:tc>
      </w:tr>
      <w:tr>
        <w:tc>
          <w:tcPr>
            <w:tcW w:type="dxa" w:w="16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PyTorch + vLLM</w:t>
            </w:r>
          </w:p>
        </w:tc>
        <w:tc>
          <w:tcPr>
            <w:tcW w:type="dxa" w:w="50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首期推理与缓存基线</w:t>
            </w:r>
          </w:p>
        </w:tc>
        <w:tc>
          <w:tcPr>
            <w:tcW w:type="dxa" w:w="27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必须</w:t>
            </w:r>
          </w:p>
        </w:tc>
      </w:tr>
      <w:tr>
        <w:tc>
          <w:tcPr>
            <w:tcW w:type="dxa" w:w="1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pytest</w:t>
            </w:r>
          </w:p>
        </w:tc>
        <w:tc>
          <w:tcPr>
            <w:tcW w:type="dxa" w:w="50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正确性、异常和回归测试</w:t>
            </w:r>
          </w:p>
        </w:tc>
        <w:tc>
          <w:tcPr>
            <w:tcW w:type="dxa" w:w="27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必须</w:t>
            </w:r>
          </w:p>
        </w:tc>
      </w:tr>
      <w:tr>
        <w:tc>
          <w:tcPr>
            <w:tcW w:type="dxa" w:w="16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C++/CUDA</w:t>
            </w:r>
          </w:p>
        </w:tc>
        <w:tc>
          <w:tcPr>
            <w:tcW w:type="dxa" w:w="50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深层 KV 管理、Kernel 或 G6</w:t>
            </w:r>
          </w:p>
        </w:tc>
        <w:tc>
          <w:tcPr>
            <w:tcW w:type="dxa" w:w="27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后期按需</w:t>
            </w:r>
          </w:p>
        </w:tc>
      </w:tr>
      <w:tr>
        <w:tc>
          <w:tcPr>
            <w:tcW w:type="dxa" w:w="1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LaTeX/Markdown</w:t>
            </w:r>
          </w:p>
        </w:tc>
        <w:tc>
          <w:tcPr>
            <w:tcW w:type="dxa" w:w="50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论文与报告</w:t>
            </w:r>
          </w:p>
        </w:tc>
        <w:tc>
          <w:tcPr>
            <w:tcW w:type="dxa" w:w="27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后期</w:t>
            </w:r>
          </w:p>
        </w:tc>
      </w:tr>
    </w:tbl>
    <w:p>
      <w:pPr>
        <w:spacing w:after="0"/>
      </w:pPr>
    </w:p>
    <w:p>
      <w:pPr>
        <w:pStyle w:val="Title"/>
      </w:pPr>
      <w:r>
        <w:t>10. 可复现性与仓库规范</w:t>
      </w:r>
    </w:p>
    <w:p>
      <w:pPr>
        <w:pStyle w:val="Heading1"/>
      </w:pPr>
      <w:r>
        <w:t>10.1 独立实验仓库</w:t>
      </w:r>
    </w:p>
    <w:p>
      <w:r>
        <w:rPr>
          <w:rFonts w:ascii="Aptos" w:hAnsi="Aptos" w:eastAsia="Microsoft YaHei"/>
          <w:b w:val="0"/>
          <w:i w:val="0"/>
          <w:color w:val="111827"/>
          <w:sz w:val="20"/>
        </w:rPr>
        <w:t>Stage 1 建议建立独立私有仓库 code-agent-kvcache-experiments，与当前 research 仓库和 cuSZp 等既有项目隔离。research 仓库存放调研、决策与设计文档；实验仓库存放代码、配置、Schema、轻量日志和可复现结果索引。巨大 KV 文件、模型权重、密钥和未脱敏 Prompt 不进入 Git。</w:t>
      </w:r>
    </w:p>
    <w:p>
      <w:pPr>
        <w:pStyle w:val="Heading1"/>
      </w:pPr>
      <w:r>
        <w:t>10.2 每次运行 Manifest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字段组</w:t>
            </w:r>
          </w:p>
        </w:tc>
        <w:tc>
          <w:tcPr>
            <w:tcW w:type="dxa" w:w="776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记录内容</w:t>
            </w:r>
          </w:p>
        </w:tc>
      </w:tr>
      <w:tr>
        <w:tc>
          <w:tcPr>
            <w:tcW w:type="dxa" w:w="1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版本</w:t>
            </w:r>
          </w:p>
        </w:tc>
        <w:tc>
          <w:tcPr>
            <w:tcW w:type="dxa" w:w="77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代码 Commit、脏工作区状态、配置哈希、Schema 版本</w:t>
            </w:r>
          </w:p>
        </w:tc>
      </w:tr>
      <w:tr>
        <w:tc>
          <w:tcPr>
            <w:tcW w:type="dxa" w:w="16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模型</w:t>
            </w:r>
          </w:p>
        </w:tc>
        <w:tc>
          <w:tcPr>
            <w:tcW w:type="dxa" w:w="77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模型 Revision、权重/Tokenizer 哈希、Adapter、dtype/量化</w:t>
            </w:r>
          </w:p>
        </w:tc>
      </w:tr>
      <w:tr>
        <w:tc>
          <w:tcPr>
            <w:tcW w:type="dxa" w:w="1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环境</w:t>
            </w:r>
          </w:p>
        </w:tc>
        <w:tc>
          <w:tcPr>
            <w:tcW w:type="dxa" w:w="77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Ubuntu、驱动、CUDA、Python、PyTorch、vLLM、Kernel</w:t>
            </w:r>
          </w:p>
        </w:tc>
      </w:tr>
      <w:tr>
        <w:tc>
          <w:tcPr>
            <w:tcW w:type="dxa" w:w="16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硬件</w:t>
            </w:r>
          </w:p>
        </w:tc>
        <w:tc>
          <w:tcPr>
            <w:tcW w:type="dxa" w:w="77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GPU、CPU、内存、NVMe、文件系统、PCIe</w:t>
            </w:r>
          </w:p>
        </w:tc>
      </w:tr>
      <w:tr>
        <w:tc>
          <w:tcPr>
            <w:tcW w:type="dxa" w:w="1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输入</w:t>
            </w:r>
          </w:p>
        </w:tc>
        <w:tc>
          <w:tcPr>
            <w:tcW w:type="dxa" w:w="77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Trace ID/哈希、任务集合、请求顺序、随机种子</w:t>
            </w:r>
          </w:p>
        </w:tc>
      </w:tr>
      <w:tr>
        <w:tc>
          <w:tcPr>
            <w:tcW w:type="dxa" w:w="16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方法</w:t>
            </w:r>
          </w:p>
        </w:tc>
        <w:tc>
          <w:tcPr>
            <w:tcW w:type="dxa" w:w="77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B0–B6、参数、缓存预算、并发、预热、Core/Pilot</w:t>
            </w:r>
          </w:p>
        </w:tc>
      </w:tr>
      <w:tr>
        <w:tc>
          <w:tcPr>
            <w:tcW w:type="dxa" w:w="1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结果</w:t>
            </w:r>
          </w:p>
        </w:tc>
        <w:tc>
          <w:tcPr>
            <w:tcW w:type="dxa" w:w="77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主/辅助指标、正确性、成功/失败/无效原因、输出路径</w:t>
            </w:r>
          </w:p>
        </w:tc>
      </w:tr>
    </w:tbl>
    <w:p>
      <w:pPr>
        <w:spacing w:after="0"/>
      </w:pPr>
    </w:p>
    <w:p>
      <w:pPr>
        <w:pStyle w:val="Heading1"/>
      </w:pPr>
      <w:r>
        <w:t>10.3 不覆盖原则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每次运行生成唯一 experiment_run_id。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失败、无效和负结果不删除、不覆盖，只更新状态与原因。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任何修复后必须生成新的 run_id，禁止修改旧结果伪装为原始运行。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原始事件日志、派生表与图表分层存放；派生结果可重建。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Core 配置冻结后按 Commit 与哈希归档。</w:t>
      </w:r>
    </w:p>
    <w:p>
      <w:pPr>
        <w:pStyle w:val="Title"/>
      </w:pPr>
      <w:r>
        <w:t>11. Stage 1 准入清单</w:t>
      </w:r>
    </w:p>
    <w:p>
      <w:pPr>
        <w:pStyle w:val="Heading1"/>
      </w:pPr>
      <w:r>
        <w:t>11.1 Stage 0 结项项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2500"/>
        <w:gridCol w:w="1450"/>
        <w:gridCol w:w="5410"/>
      </w:tblGrid>
      <w:tr>
        <w:trPr>
          <w:tblHeader w:val="true"/>
        </w:trPr>
        <w:tc>
          <w:tcPr>
            <w:tcW w:type="dxa" w:w="25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准入项</w:t>
            </w:r>
          </w:p>
        </w:tc>
        <w:tc>
          <w:tcPr>
            <w:tcW w:type="dxa" w:w="145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状态</w:t>
            </w:r>
          </w:p>
        </w:tc>
        <w:tc>
          <w:tcPr>
            <w:tcW w:type="dxa" w:w="541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证据/动作</w:t>
            </w:r>
          </w:p>
        </w:tc>
      </w:tr>
      <w:tr>
        <w:tc>
          <w:tcPr>
            <w:tcW w:type="dxa" w:w="25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0-1～0-3 调研资料与 IEEE Survey</w:t>
            </w:r>
          </w:p>
        </w:tc>
        <w:tc>
          <w:tcPr>
            <w:tcW w:type="dxa" w:w="14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已完成</w:t>
            </w:r>
          </w:p>
        </w:tc>
        <w:tc>
          <w:tcPr>
            <w:tcW w:type="dxa" w:w="541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research 仓库既有材料</w:t>
            </w:r>
          </w:p>
        </w:tc>
      </w:tr>
      <w:tr>
        <w:tc>
          <w:tcPr>
            <w:tcW w:type="dxa" w:w="25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0-4 研究空白矩阵与问题收敛</w:t>
            </w:r>
          </w:p>
        </w:tc>
        <w:tc>
          <w:tcPr>
            <w:tcW w:type="dxa" w:w="14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已完成</w:t>
            </w:r>
          </w:p>
        </w:tc>
        <w:tc>
          <w:tcPr>
            <w:tcW w:type="dxa" w:w="541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Excel、DOCX、PDF 已找回</w:t>
            </w:r>
          </w:p>
        </w:tc>
      </w:tr>
      <w:tr>
        <w:tc>
          <w:tcPr>
            <w:tcW w:type="dxa" w:w="25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0-5.1～0-5.6 实验预设计</w:t>
            </w:r>
          </w:p>
        </w:tc>
        <w:tc>
          <w:tcPr>
            <w:tcW w:type="dxa" w:w="14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已完成</w:t>
            </w:r>
          </w:p>
        </w:tc>
        <w:tc>
          <w:tcPr>
            <w:tcW w:type="dxa" w:w="541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本报告正文</w:t>
            </w:r>
          </w:p>
        </w:tc>
      </w:tr>
      <w:tr>
        <w:tc>
          <w:tcPr>
            <w:tcW w:type="dxa" w:w="25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0-5.7 总评审与假设冻结</w:t>
            </w:r>
          </w:p>
        </w:tc>
        <w:tc>
          <w:tcPr>
            <w:tcW w:type="dxa" w:w="14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已通过</w:t>
            </w:r>
          </w:p>
        </w:tc>
        <w:tc>
          <w:tcPr>
            <w:tcW w:type="dxa" w:w="541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2026-09-02 用户确认</w:t>
            </w:r>
          </w:p>
        </w:tc>
      </w:tr>
      <w:tr>
        <w:tc>
          <w:tcPr>
            <w:tcW w:type="dxa" w:w="25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完整 0-5 DOCX/PDF</w:t>
            </w:r>
          </w:p>
        </w:tc>
        <w:tc>
          <w:tcPr>
            <w:tcW w:type="dxa" w:w="14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本次生成</w:t>
            </w:r>
          </w:p>
        </w:tc>
        <w:tc>
          <w:tcPr>
            <w:tcW w:type="dxa" w:w="541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逐页 QA 后交付</w:t>
            </w:r>
          </w:p>
        </w:tc>
      </w:tr>
      <w:tr>
        <w:tc>
          <w:tcPr>
            <w:tcW w:type="dxa" w:w="25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Research 仓库最终整理</w:t>
            </w:r>
          </w:p>
        </w:tc>
        <w:tc>
          <w:tcPr>
            <w:tcW w:type="dxa" w:w="145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待本报告确认后</w:t>
            </w:r>
          </w:p>
        </w:tc>
        <w:tc>
          <w:tcPr>
            <w:tcW w:type="dxa" w:w="541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更新唯一根 README 与归档</w:t>
            </w:r>
          </w:p>
        </w:tc>
      </w:tr>
      <w:tr>
        <w:tc>
          <w:tcPr>
            <w:tcW w:type="dxa" w:w="25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stage-0-complete 标签</w:t>
            </w:r>
          </w:p>
        </w:tc>
        <w:tc>
          <w:tcPr>
            <w:tcW w:type="dxa" w:w="14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待仓库审计后</w:t>
            </w:r>
          </w:p>
        </w:tc>
        <w:tc>
          <w:tcPr>
            <w:tcW w:type="dxa" w:w="541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最后创建</w:t>
            </w:r>
          </w:p>
        </w:tc>
      </w:tr>
    </w:tbl>
    <w:p>
      <w:pPr>
        <w:spacing w:after="0"/>
      </w:pPr>
    </w:p>
    <w:p>
      <w:pPr>
        <w:pStyle w:val="Heading1"/>
      </w:pPr>
      <w:r>
        <w:t>11.2 Stage 1 第一批只读检查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Ubuntu 准确版本；NVIDIA 驱动；CUDA；Python。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RTX 5090 识别、显存与运行状态；64GB 内存实际可用量；Swap。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NVMe 型号、文件系统、挂载、剩余空间和基础 I/O。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Docker、PyTorch、vLLM 和已有虚拟环境。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现有 cuSZp 等项目的位置与隔离要求。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33A3A"/>
          <w:left w:val="single" w:sz="8" w:color="A33A3A"/>
          <w:bottom w:val="single" w:sz="8" w:color="A33A3A"/>
          <w:right w:val="single" w:sz="8" w:color="A33A3A"/>
          <w:insideH w:val="single" w:sz="8" w:color="A33A3A"/>
          <w:insideV w:val="single" w:sz="8" w:color="A33A3A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6F4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A33A3A"/>
                <w:sz w:val="19"/>
              </w:rPr>
              <w:t xml:space="preserve">准入限制  </w:t>
            </w:r>
            <w:r>
              <w:rPr>
                <w:rFonts w:ascii="Aptos" w:hAnsi="Aptos" w:eastAsia="Microsoft YaHei"/>
                <w:b w:val="0"/>
                <w:i w:val="0"/>
                <w:color w:val="111827"/>
                <w:sz w:val="19"/>
              </w:rPr>
              <w:t>只读盘点完成前：不安装软件、不升级驱动、不修改现有 Python 环境、不运行正式性能实验、不创建或覆盖现有项目目录。</w:t>
            </w:r>
          </w:p>
        </w:tc>
      </w:tr>
    </w:tbl>
    <w:p>
      <w:pPr>
        <w:spacing w:after="0"/>
      </w:pPr>
    </w:p>
    <w:p>
      <w:pPr>
        <w:pStyle w:val="Heading1"/>
      </w:pPr>
      <w:r>
        <w:t>11.3 不阻塞 Stage 0 的待定参数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精确模型 Revision；PyTorch/CUDA/vLLM 版本组合。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DRAM 与 NVMe 缓存容量；KV Block Size；并发量。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预热、重复次数、超时、最小可检测效应。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NVMe 实际收益边界；B6 是否使用付费 API。</w:t>
      </w:r>
    </w:p>
    <w:p>
      <w:pPr>
        <w:pStyle w:val="ListBullet"/>
      </w:pPr>
      <w:r>
        <w:rPr>
          <w:rFonts w:ascii="Aptos" w:hAnsi="Aptos" w:eastAsia="Microsoft YaHei"/>
          <w:b w:val="0"/>
          <w:i w:val="0"/>
          <w:color w:val="111827"/>
          <w:sz w:val="20"/>
        </w:rPr>
        <w:t>HBM 服务器、其他 GPU 或多节点资源是否可用。</w:t>
      </w:r>
    </w:p>
    <w:p>
      <w:pPr>
        <w:pStyle w:val="Title"/>
      </w:pPr>
      <w:r>
        <w:t>12. 风险、停止条件与决策门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2000"/>
        <w:gridCol w:w="4020"/>
        <w:gridCol w:w="3340"/>
      </w:tblGrid>
      <w:tr>
        <w:trPr>
          <w:tblHeader w:val="true"/>
        </w:trPr>
        <w:tc>
          <w:tcPr>
            <w:tcW w:type="dxa" w:w="20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风险/观察</w:t>
            </w:r>
          </w:p>
        </w:tc>
        <w:tc>
          <w:tcPr>
            <w:tcW w:type="dxa" w:w="402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强制动作</w:t>
            </w:r>
          </w:p>
        </w:tc>
        <w:tc>
          <w:tcPr>
            <w:tcW w:type="dxa" w:w="334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对研究结论的影响</w:t>
            </w:r>
          </w:p>
        </w:tc>
      </w:tr>
      <w:tr>
        <w:tc>
          <w:tcPr>
            <w:tcW w:type="dxa" w:w="20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精确前缀输出不一致</w:t>
            </w:r>
          </w:p>
        </w:tc>
        <w:tc>
          <w:tcPr>
            <w:tcW w:type="dxa" w:w="40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停止性能统计，修复身份/恢复链路</w:t>
            </w:r>
          </w:p>
        </w:tc>
        <w:tc>
          <w:tcPr>
            <w:tcW w:type="dxa" w:w="33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主线未通过正确性</w:t>
            </w:r>
          </w:p>
        </w:tc>
      </w:tr>
      <w:tr>
        <w:tc>
          <w:tcPr>
            <w:tcW w:type="dxa" w:w="20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B1 已在主要负载达到同等或更优结果</w:t>
            </w:r>
          </w:p>
        </w:tc>
        <w:tc>
          <w:tcPr>
            <w:tcW w:type="dxa" w:w="402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保留负结果，重估 B5 复杂性</w:t>
            </w:r>
          </w:p>
        </w:tc>
        <w:tc>
          <w:tcPr>
            <w:tcW w:type="dxa" w:w="334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H3 可能被否定</w:t>
            </w:r>
          </w:p>
        </w:tc>
      </w:tr>
      <w:tr>
        <w:tc>
          <w:tcPr>
            <w:tcW w:type="dxa" w:w="20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NVMe 在全部区间慢于重算</w:t>
            </w:r>
          </w:p>
        </w:tc>
        <w:tc>
          <w:tcPr>
            <w:tcW w:type="dxa" w:w="40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将其标为无收益区间，允许策略退化</w:t>
            </w:r>
          </w:p>
        </w:tc>
        <w:tc>
          <w:tcPr>
            <w:tcW w:type="dxa" w:w="33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H4 部分否定或边界明确</w:t>
            </w:r>
          </w:p>
        </w:tc>
      </w:tr>
      <w:tr>
        <w:tc>
          <w:tcPr>
            <w:tcW w:type="dxa" w:w="20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Prompt 布局降低任务质量</w:t>
            </w:r>
          </w:p>
        </w:tc>
        <w:tc>
          <w:tcPr>
            <w:tcW w:type="dxa" w:w="402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停止 G5 修改</w:t>
            </w:r>
          </w:p>
        </w:tc>
        <w:tc>
          <w:tcPr>
            <w:tcW w:type="dxa" w:w="334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H5 否定</w:t>
            </w:r>
          </w:p>
        </w:tc>
      </w:tr>
      <w:tr>
        <w:tc>
          <w:tcPr>
            <w:tcW w:type="dxa" w:w="20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G6 无法兼顾正确性与收益</w:t>
            </w:r>
          </w:p>
        </w:tc>
        <w:tc>
          <w:tcPr>
            <w:tcW w:type="dxa" w:w="40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终止 G6，不影响精确主线</w:t>
            </w:r>
          </w:p>
        </w:tc>
        <w:tc>
          <w:tcPr>
            <w:tcW w:type="dxa" w:w="33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H6 否定</w:t>
            </w:r>
          </w:p>
        </w:tc>
      </w:tr>
      <w:tr>
        <w:tc>
          <w:tcPr>
            <w:tcW w:type="dxa" w:w="20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单机结果不能跨设备复现</w:t>
            </w:r>
          </w:p>
        </w:tc>
        <w:tc>
          <w:tcPr>
            <w:tcW w:type="dxa" w:w="402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明确设备特有结论</w:t>
            </w:r>
          </w:p>
        </w:tc>
        <w:tc>
          <w:tcPr>
            <w:tcW w:type="dxa" w:w="334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H8 限制或否定</w:t>
            </w:r>
          </w:p>
        </w:tc>
      </w:tr>
      <w:tr>
        <w:tc>
          <w:tcPr>
            <w:tcW w:type="dxa" w:w="20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预算/周期不足</w:t>
            </w:r>
          </w:p>
        </w:tc>
        <w:tc>
          <w:tcPr>
            <w:tcW w:type="dxa" w:w="40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优先完成 M0–M7 的主线最小闭环</w:t>
            </w:r>
          </w:p>
        </w:tc>
        <w:tc>
          <w:tcPr>
            <w:tcW w:type="dxa" w:w="33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G6/G8 延后</w:t>
            </w:r>
          </w:p>
        </w:tc>
      </w:tr>
    </w:tbl>
    <w:p>
      <w:pPr>
        <w:spacing w:after="0"/>
      </w:pPr>
    </w:p>
    <w:p>
      <w:pPr>
        <w:pStyle w:val="Heading1"/>
      </w:pPr>
      <w:r>
        <w:t>12.1 Stage 1 进入判定</w:t>
      </w:r>
    </w:p>
    <w:p>
      <w:r>
        <w:rPr>
          <w:rFonts w:ascii="Aptos" w:hAnsi="Aptos" w:eastAsia="Microsoft YaHei"/>
          <w:b w:val="0"/>
          <w:i w:val="0"/>
          <w:color w:val="111827"/>
          <w:sz w:val="20"/>
        </w:rPr>
        <w:t>本报告完成视觉 QA、归档到 research 仓库并创建 stage-0-complete 标签后，Stage 0 才正式结项。随后 Stage 1 仅从只读环境审计开始。模型、框架和缓存参数在审计与 Pilot 前保持待定，不因本报告的通过而自动授权安装、升级或实验。</w:t>
      </w:r>
    </w:p>
    <w:p>
      <w:pPr>
        <w:pStyle w:val="Title"/>
      </w:pPr>
      <w:r>
        <w:t>13. 0-5.7 最终冻结结论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2F6B4F"/>
          <w:left w:val="single" w:sz="8" w:color="2F6B4F"/>
          <w:bottom w:val="single" w:sz="8" w:color="2F6B4F"/>
          <w:right w:val="single" w:sz="8" w:color="2F6B4F"/>
          <w:insideH w:val="single" w:sz="8" w:color="2F6B4F"/>
          <w:insideV w:val="single" w:sz="8" w:color="2F6B4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6F4"/>
          </w:tcPr>
          <w:p>
            <w:pPr>
              <w:spacing w:after="0"/>
            </w:pPr>
            <w:r>
              <w:rPr>
                <w:rFonts w:ascii="Aptos" w:hAnsi="Aptos" w:eastAsia="Microsoft YaHei"/>
                <w:b/>
                <w:i w:val="0"/>
                <w:color w:val="2F6B4F"/>
                <w:sz w:val="19"/>
              </w:rPr>
              <w:t xml:space="preserve">正式结论  </w:t>
            </w:r>
            <w:r>
              <w:rPr>
                <w:rFonts w:ascii="Aptos" w:hAnsi="Aptos" w:eastAsia="Microsoft YaHei"/>
                <w:b w:val="0"/>
                <w:i w:val="0"/>
                <w:color w:val="111827"/>
                <w:sz w:val="19"/>
              </w:rPr>
              <w:t>通过 0-5.7。冻结 RQ1–RQ5、G1–G8、H1–H8、W1–W3、R1–R3、B0–B6、M0–M8、核心指标、正确性门槛、统计原则、安全边界与仓库隔离方案。</w:t>
            </w:r>
          </w:p>
        </w:tc>
      </w:tr>
    </w:tbl>
    <w:p>
      <w:pPr>
        <w:spacing w:after="0"/>
      </w:pPr>
    </w:p>
    <w:p>
      <w:r>
        <w:rPr>
          <w:rFonts w:ascii="Aptos" w:hAnsi="Aptos" w:eastAsia="Microsoft YaHei"/>
          <w:b w:val="0"/>
          <w:i w:val="0"/>
          <w:color w:val="111827"/>
          <w:sz w:val="20"/>
        </w:rPr>
        <w:t>Stage 0 的技术设计现已完成闭环，但项目状态仍为“待报告归档与仓库结项”。本报告不声称任何性能目标已经达成，也不提前冻结需要 Stage 1 环境审计或 Pilot 才能合理确定的参数。</w:t>
      </w:r>
    </w:p>
    <w:p>
      <w:r>
        <w:br w:type="page"/>
      </w:r>
    </w:p>
    <w:p>
      <w:pPr>
        <w:pStyle w:val="Title"/>
      </w:pPr>
      <w:r>
        <w:t>附录 A：冻结对象索引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1800"/>
        <w:gridCol w:w="4500"/>
        <w:gridCol w:w="3060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type="dxa" w:w="45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范围</w:t>
            </w:r>
          </w:p>
        </w:tc>
        <w:tc>
          <w:tcPr>
            <w:tcW w:type="dxa" w:w="306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位置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RQ</w:t>
            </w:r>
          </w:p>
        </w:tc>
        <w:tc>
          <w:tcPr>
            <w:tcW w:type="dxa" w:w="45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RQ1–RQ5</w:t>
            </w:r>
          </w:p>
        </w:tc>
        <w:tc>
          <w:tcPr>
            <w:tcW w:type="dxa" w:w="30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第 2.1 节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G</w:t>
            </w:r>
          </w:p>
        </w:tc>
        <w:tc>
          <w:tcPr>
            <w:tcW w:type="dxa" w:w="45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G1–G8</w:t>
            </w:r>
          </w:p>
        </w:tc>
        <w:tc>
          <w:tcPr>
            <w:tcW w:type="dxa" w:w="30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第 2.2 节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H</w:t>
            </w:r>
          </w:p>
        </w:tc>
        <w:tc>
          <w:tcPr>
            <w:tcW w:type="dxa" w:w="45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H1–H8</w:t>
            </w:r>
          </w:p>
        </w:tc>
        <w:tc>
          <w:tcPr>
            <w:tcW w:type="dxa" w:w="30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第 2.3 节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工作负载</w:t>
            </w:r>
          </w:p>
        </w:tc>
        <w:tc>
          <w:tcPr>
            <w:tcW w:type="dxa" w:w="45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W1–W3</w:t>
            </w:r>
          </w:p>
        </w:tc>
        <w:tc>
          <w:tcPr>
            <w:tcW w:type="dxa" w:w="30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第 4.1 节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回放</w:t>
            </w:r>
          </w:p>
        </w:tc>
        <w:tc>
          <w:tcPr>
            <w:tcW w:type="dxa" w:w="45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R1–R3</w:t>
            </w:r>
          </w:p>
        </w:tc>
        <w:tc>
          <w:tcPr>
            <w:tcW w:type="dxa" w:w="30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第 4.2 节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基线</w:t>
            </w:r>
          </w:p>
        </w:tc>
        <w:tc>
          <w:tcPr>
            <w:tcW w:type="dxa" w:w="45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B0–B6</w:t>
            </w:r>
          </w:p>
        </w:tc>
        <w:tc>
          <w:tcPr>
            <w:tcW w:type="dxa" w:w="30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第 5 节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实验</w:t>
            </w:r>
          </w:p>
        </w:tc>
        <w:tc>
          <w:tcPr>
            <w:tcW w:type="dxa" w:w="45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M0–M8</w:t>
            </w:r>
          </w:p>
        </w:tc>
        <w:tc>
          <w:tcPr>
            <w:tcW w:type="dxa" w:w="30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第 6 节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指标/统计</w:t>
            </w:r>
          </w:p>
        </w:tc>
        <w:tc>
          <w:tcPr>
            <w:tcW w:type="dxa" w:w="45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主指标、门槛、Pilot/Core</w:t>
            </w:r>
          </w:p>
        </w:tc>
        <w:tc>
          <w:tcPr>
            <w:tcW w:type="dxa" w:w="30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第 7 节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安全</w:t>
            </w:r>
          </w:p>
        </w:tc>
        <w:tc>
          <w:tcPr>
            <w:tcW w:type="dxa" w:w="45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兼容键、完整性、异常</w:t>
            </w:r>
          </w:p>
        </w:tc>
        <w:tc>
          <w:tcPr>
            <w:tcW w:type="dxa" w:w="30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第 8 节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准入</w:t>
            </w:r>
          </w:p>
        </w:tc>
        <w:tc>
          <w:tcPr>
            <w:tcW w:type="dxa" w:w="45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Stage 0 结项与 Stage 1 检查</w:t>
            </w:r>
          </w:p>
        </w:tc>
        <w:tc>
          <w:tcPr>
            <w:tcW w:type="dxa" w:w="30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7"/>
              </w:rPr>
              <w:t>第 11 节</w:t>
            </w:r>
          </w:p>
        </w:tc>
      </w:tr>
    </w:tbl>
    <w:p>
      <w:pPr>
        <w:spacing w:after="0"/>
      </w:pPr>
    </w:p>
    <w:p>
      <w:pPr>
        <w:pStyle w:val="Title"/>
      </w:pPr>
      <w:r>
        <w:t>附录 B：候选配置骨架（非冻结值）</w:t>
      </w:r>
    </w:p>
    <w:p>
      <w:r>
        <w:rPr>
          <w:rFonts w:ascii="Aptos" w:hAnsi="Aptos" w:eastAsia="Microsoft YaHei"/>
          <w:b w:val="0"/>
          <w:i w:val="0"/>
          <w:color w:val="111827"/>
          <w:sz w:val="20"/>
        </w:rPr>
        <w:t>以下仅用于 Stage 1 创建配置文件时保证字段完整。尖括号内容必须由环境审计或 Pilot 填写，不得直接作为正式参数。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8D2DF"/>
          <w:left w:val="single" w:sz="4" w:color="C8D2DF"/>
          <w:bottom w:val="single" w:sz="4" w:color="C8D2DF"/>
          <w:right w:val="single" w:sz="4" w:color="C8D2DF"/>
          <w:insideH w:val="single" w:sz="4" w:color="C8D2DF"/>
          <w:insideV w:val="single" w:sz="4" w:color="C8D2DF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配置组</w:t>
            </w:r>
          </w:p>
        </w:tc>
        <w:tc>
          <w:tcPr>
            <w:tcW w:type="dxa" w:w="7560"/>
            <w:vAlign w:val="center"/>
            <w:shd w:fill="17365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字段示例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run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experiment_run_id, phase: &lt;pilot|core&gt;, seed, repetitions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model</w:t>
            </w:r>
          </w:p>
        </w:tc>
        <w:tc>
          <w:tcPr>
            <w:tcW w:type="dxa" w:w="75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model_id, revision, tokenizer_hash, dtype, quantization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engine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vllm_version, block_size, max_model_len, attention_backend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workload</w:t>
            </w:r>
          </w:p>
        </w:tc>
        <w:tc>
          <w:tcPr>
            <w:tcW w:type="dxa" w:w="75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W1|W2|W3, R1|R2|R3, trace_hash, concurrency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cache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baseline B0–B5, gpu_budget, dram_budget, nvme_budget, ttl/predictor/value settings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measurement</w:t>
            </w:r>
          </w:p>
        </w:tc>
        <w:tc>
          <w:tcPr>
            <w:tcW w:type="dxa" w:w="75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warmup, timeout, clock source, power sample interval, cold/hot NVMe mode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correctness</w:t>
            </w:r>
          </w:p>
        </w:tc>
        <w:tc>
          <w:tcPr>
            <w:tcW w:type="dxa" w:w="75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token_exact, logit_tolerance, checksum, task_success_policy</w:t>
            </w:r>
          </w:p>
        </w:tc>
      </w:tr>
      <w:tr>
        <w:tc>
          <w:tcPr>
            <w:tcW w:type="dxa" w:w="180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output</w:t>
            </w:r>
          </w:p>
        </w:tc>
        <w:tc>
          <w:tcPr>
            <w:tcW w:type="dxa" w:w="7560"/>
            <w:vAlign w:val="center"/>
            <w:shd w:fill="F4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 w:eastAsia="Microsoft YaHei"/>
                <w:b w:val="0"/>
                <w:i w:val="0"/>
                <w:color w:val="111827"/>
                <w:sz w:val="16"/>
              </w:rPr>
              <w:t>manifest, event_log, request_table, summary, invalid_reason</w:t>
            </w:r>
          </w:p>
        </w:tc>
      </w:tr>
    </w:tbl>
    <w:p>
      <w:pPr>
        <w:spacing w:after="0"/>
      </w:pPr>
    </w:p>
    <w:p>
      <w:pPr>
        <w:pStyle w:val="Title"/>
      </w:pPr>
      <w:r>
        <w:t>附录 C：与 0-4 成果的关系</w:t>
      </w:r>
    </w:p>
    <w:p>
      <w:r>
        <w:rPr>
          <w:rFonts w:ascii="Aptos" w:hAnsi="Aptos" w:eastAsia="Microsoft YaHei"/>
          <w:b w:val="0"/>
          <w:i w:val="0"/>
          <w:color w:val="111827"/>
          <w:sz w:val="20"/>
        </w:rPr>
        <w:t>0-4 报告完成研究空白识别、候选路线评分和研究问题收敛；0-5 将这些结论展开为工作负载、回放、基线、实验矩阵、指标和准入协议。0-4 证据矩阵仍是外部研究证据的主索引，本报告不重复 91 项完整文献表，而只引用其已收敛结论。若未来出现直接竞争工作，应先更新证据矩阵，再评估是否触发本报告的受控版本变更。</w:t>
      </w:r>
    </w:p>
    <w:p>
      <w:pPr>
        <w:pStyle w:val="Title"/>
      </w:pPr>
      <w:r>
        <w:t>附录 D：主要参考资料</w:t>
      </w:r>
    </w:p>
    <w:p>
      <w:pPr>
        <w:spacing w:after="80"/>
        <w:ind w:left="331" w:hanging="331"/>
      </w:pPr>
      <w:r>
        <w:rPr>
          <w:rFonts w:ascii="Aptos" w:hAnsi="Aptos" w:eastAsia="Microsoft YaHei"/>
          <w:b w:val="0"/>
          <w:i w:val="0"/>
          <w:color w:val="111827"/>
          <w:sz w:val="20"/>
        </w:rPr>
        <w:t>[1] K. Zhu et al., “TraceLab: Characterizing Coding Agent Workloads for LLM Serving,” arXiv:2606.30560, 2026.</w:t>
      </w:r>
    </w:p>
    <w:p>
      <w:pPr>
        <w:spacing w:after="80"/>
        <w:ind w:left="331" w:hanging="331"/>
      </w:pPr>
      <w:r>
        <w:rPr>
          <w:rFonts w:ascii="Aptos" w:hAnsi="Aptos" w:eastAsia="Microsoft YaHei"/>
          <w:b w:val="0"/>
          <w:i w:val="0"/>
          <w:color w:val="111827"/>
          <w:sz w:val="20"/>
        </w:rPr>
        <w:t>[2] S. Tiwari et al., “CacheWise: Understanding Workloads and Optimizing KVCache Management for Efficiently Serving LLM Coding Agents,” arXiv:2606.16824, 2026.</w:t>
      </w:r>
    </w:p>
    <w:p>
      <w:pPr>
        <w:spacing w:after="80"/>
        <w:ind w:left="331" w:hanging="331"/>
      </w:pPr>
      <w:r>
        <w:rPr>
          <w:rFonts w:ascii="Aptos" w:hAnsi="Aptos" w:eastAsia="Microsoft YaHei"/>
          <w:b w:val="0"/>
          <w:i w:val="0"/>
          <w:color w:val="111827"/>
          <w:sz w:val="20"/>
        </w:rPr>
        <w:t>[3] H. Li et al., “Continuum: Efficient and Robust Multi-Turn LLM Agent Scheduling with KV Cache Time-to-Live,” arXiv:2511.02230, 2025/2026.</w:t>
      </w:r>
    </w:p>
    <w:p>
      <w:pPr>
        <w:spacing w:after="80"/>
        <w:ind w:left="331" w:hanging="331"/>
      </w:pPr>
      <w:r>
        <w:rPr>
          <w:rFonts w:ascii="Aptos" w:hAnsi="Aptos" w:eastAsia="Microsoft YaHei"/>
          <w:b w:val="0"/>
          <w:i w:val="0"/>
          <w:color w:val="111827"/>
          <w:sz w:val="20"/>
        </w:rPr>
        <w:t>[4] H. Kang et al., “ThunderAgent: A Simple, Fast and Program-Aware Agentic Inference System,” arXiv:2602.13692, 2026.</w:t>
      </w:r>
    </w:p>
    <w:p>
      <w:pPr>
        <w:spacing w:after="80"/>
        <w:ind w:left="331" w:hanging="331"/>
      </w:pPr>
      <w:r>
        <w:rPr>
          <w:rFonts w:ascii="Aptos" w:hAnsi="Aptos" w:eastAsia="Microsoft YaHei"/>
          <w:b w:val="0"/>
          <w:i w:val="0"/>
          <w:color w:val="111827"/>
          <w:sz w:val="20"/>
        </w:rPr>
        <w:t>[5] S. Yu et al., “Pythia: Exploiting Workflow Predictability for Efficient Agent-Native LLM Serving,” arXiv:2604.25899, 2026.</w:t>
      </w:r>
    </w:p>
    <w:p>
      <w:pPr>
        <w:spacing w:after="80"/>
        <w:ind w:left="331" w:hanging="331"/>
      </w:pPr>
      <w:r>
        <w:rPr>
          <w:rFonts w:ascii="Aptos" w:hAnsi="Aptos" w:eastAsia="Microsoft YaHei"/>
          <w:b w:val="0"/>
          <w:i w:val="0"/>
          <w:color w:val="111827"/>
          <w:sz w:val="20"/>
        </w:rPr>
        <w:t>[6] Y. Yao et al., “CacheBlend: Fast Large Language Model Serving for RAG with Cached Knowledge Fusion,” arXiv:2405.16444, 2024.</w:t>
      </w:r>
    </w:p>
    <w:p>
      <w:pPr>
        <w:spacing w:after="80"/>
        <w:ind w:left="331" w:hanging="331"/>
      </w:pPr>
      <w:r>
        <w:rPr>
          <w:rFonts w:ascii="Aptos" w:hAnsi="Aptos" w:eastAsia="Microsoft YaHei"/>
          <w:b w:val="0"/>
          <w:i w:val="0"/>
          <w:color w:val="111827"/>
          <w:sz w:val="20"/>
        </w:rPr>
        <w:t>[7] “EPIC: Efficient Position-Independent Caching for Serving Large Language Models,” arXiv:2410.15332, 2024.</w:t>
      </w:r>
    </w:p>
    <w:p>
      <w:pPr>
        <w:spacing w:after="80"/>
        <w:ind w:left="331" w:hanging="331"/>
      </w:pPr>
      <w:r>
        <w:rPr>
          <w:rFonts w:ascii="Aptos" w:hAnsi="Aptos" w:eastAsia="Microsoft YaHei"/>
          <w:b w:val="0"/>
          <w:i w:val="0"/>
          <w:color w:val="111827"/>
          <w:sz w:val="20"/>
        </w:rPr>
        <w:t>[8] “LMCache: An Efficient KV Cache Layer for Enterprise-Scale LLM Inference,” arXiv:2510.09665, 2025.</w:t>
      </w:r>
    </w:p>
    <w:p>
      <w:pPr>
        <w:spacing w:after="80"/>
        <w:ind w:left="331" w:hanging="331"/>
      </w:pPr>
      <w:r>
        <w:rPr>
          <w:rFonts w:ascii="Aptos" w:hAnsi="Aptos" w:eastAsia="Microsoft YaHei"/>
          <w:b w:val="0"/>
          <w:i w:val="0"/>
          <w:color w:val="111827"/>
          <w:sz w:val="20"/>
        </w:rPr>
        <w:t>[9] “Strata: Hierarchical Context Caching for Long Context Language Model Serving,” arXiv:2508.18572, 2025.</w:t>
      </w:r>
    </w:p>
    <w:p>
      <w:pPr>
        <w:spacing w:after="80"/>
        <w:ind w:left="331" w:hanging="331"/>
      </w:pPr>
      <w:r>
        <w:rPr>
          <w:rFonts w:ascii="Aptos" w:hAnsi="Aptos" w:eastAsia="Microsoft YaHei"/>
          <w:b w:val="0"/>
          <w:i w:val="0"/>
          <w:color w:val="111827"/>
          <w:sz w:val="20"/>
        </w:rPr>
        <w:t>[10] “KVDrive: A Holistic Multi-Tier KV Cache Management System for Long-Context LLM Inference,” arXiv:2605.18071, 2026.</w:t>
      </w:r>
    </w:p>
    <w:p>
      <w:pPr>
        <w:spacing w:after="80"/>
        <w:ind w:left="331" w:hanging="331"/>
      </w:pPr>
      <w:r>
        <w:rPr>
          <w:rFonts w:ascii="Aptos" w:hAnsi="Aptos" w:eastAsia="Microsoft YaHei"/>
          <w:b w:val="0"/>
          <w:i w:val="0"/>
          <w:color w:val="111827"/>
          <w:sz w:val="20"/>
        </w:rPr>
        <w:t>[11] “Auditing Prompt Caching in Language Model APIs,” arXiv:2502.07776, 2025.</w:t>
      </w:r>
    </w:p>
    <w:p>
      <w:pPr>
        <w:spacing w:after="80"/>
        <w:ind w:left="331" w:hanging="331"/>
      </w:pPr>
      <w:r>
        <w:rPr>
          <w:rFonts w:ascii="Aptos" w:hAnsi="Aptos" w:eastAsia="Microsoft YaHei"/>
          <w:b w:val="0"/>
          <w:i w:val="0"/>
          <w:color w:val="111827"/>
          <w:sz w:val="20"/>
        </w:rPr>
        <w:t>[12] NVIDIA, “GeForce RTX 5090 Specifications,” 32 GB GDDR7.</w:t>
      </w:r>
    </w:p>
    <w:sectPr>
      <w:headerReference w:type="default" r:id="rId9"/>
      <w:footerReference w:type="default" r:id="rId10"/>
      <w:pgSz w:w="12240" w:h="15840"/>
      <w:pgMar w:top="1181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i w:val="0"/>
        <w:color w:val="5B6573"/>
        <w:sz w:val="16"/>
      </w:rPr>
      <w:t xml:space="preserve">Stage 0 实验预设计｜冻结版本 v1.0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/>
        <w:i w:val="0"/>
        <w:color w:val="5B6573"/>
        <w:sz w:val="16"/>
      </w:rPr>
      <w:t>CODE AGENT KVCACHE  /  STAGE 0-5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95" w:lineRule="auto"/>
    </w:pPr>
    <w:rPr>
      <w:rFonts w:ascii="Aptos" w:hAnsi="Aptos" w:eastAsia="Microsoft YaHe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2E7D7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" w:hAnsi="Aptos" w:eastAsia="Microsoft YaHe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403" w:hanging="259"/>
      <w:contextualSpacing/>
    </w:pPr>
    <w:rPr>
      <w:rFonts w:ascii="Aptos" w:hAnsi="Aptos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403" w:hanging="259"/>
      <w:contextualSpacing/>
    </w:pPr>
    <w:rPr>
      <w:rFonts w:ascii="Aptos" w:hAnsi="Aptos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Agent KVCache Stage 0-5 实验预设计报告</dc:title>
  <dc:subject>Stage 0 总评审、研究假设冻结与 Stage 1 准入</dc:subject>
  <dc:creator/>
  <cp:keywords>Code Agent, KVCache, prefix caching, tiered storage, experimental design</cp:keywords>
  <dc:description>Frozen after 0-5.7 approval on 2026-09-02.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