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EA0E96" w14:textId="77777777" w:rsidR="00955CFC" w:rsidRDefault="00750CCB">
      <w:pPr>
        <w:pStyle w:val="1"/>
        <w:rPr>
          <w:lang w:eastAsia="zh-CN"/>
        </w:rPr>
      </w:pPr>
      <w:bookmarkStart w:id="0" w:name="能源互联网课程报告"/>
      <w:r>
        <w:rPr>
          <w:lang w:eastAsia="zh-CN"/>
        </w:rPr>
        <w:t>能源互联网课程报告</w:t>
      </w:r>
    </w:p>
    <w:p w14:paraId="593E61CA" w14:textId="77777777" w:rsidR="00955CFC" w:rsidRDefault="00750CCB">
      <w:pPr>
        <w:pStyle w:val="4"/>
        <w:rPr>
          <w:lang w:eastAsia="zh-CN"/>
        </w:rPr>
      </w:pPr>
      <w:bookmarkStart w:id="1" w:name="组员陈昊阳-李谨成-王亮"/>
      <w:r>
        <w:rPr>
          <w:lang w:eastAsia="zh-CN"/>
        </w:rPr>
        <w:t>组员：陈昊阳</w:t>
      </w:r>
      <w:r>
        <w:rPr>
          <w:lang w:eastAsia="zh-CN"/>
        </w:rPr>
        <w:t xml:space="preserve"> </w:t>
      </w:r>
      <w:proofErr w:type="gramStart"/>
      <w:r>
        <w:rPr>
          <w:lang w:eastAsia="zh-CN"/>
        </w:rPr>
        <w:t>李谨成</w:t>
      </w:r>
      <w:proofErr w:type="gramEnd"/>
      <w:r>
        <w:rPr>
          <w:lang w:eastAsia="zh-CN"/>
        </w:rPr>
        <w:t xml:space="preserve"> </w:t>
      </w:r>
      <w:r>
        <w:rPr>
          <w:lang w:eastAsia="zh-CN"/>
        </w:rPr>
        <w:t>王亮</w:t>
      </w:r>
    </w:p>
    <w:p w14:paraId="493A5F4B" w14:textId="77777777" w:rsidR="00955CFC" w:rsidRDefault="00750CCB">
      <w:pPr>
        <w:pStyle w:val="2"/>
        <w:rPr>
          <w:lang w:eastAsia="zh-CN"/>
        </w:rPr>
      </w:pPr>
      <w:bookmarkStart w:id="2" w:name="题目能源x信息通信"/>
      <w:bookmarkEnd w:id="1"/>
      <w:r>
        <w:rPr>
          <w:lang w:eastAsia="zh-CN"/>
        </w:rPr>
        <w:t>题目：能源</w:t>
      </w:r>
      <w:r>
        <w:rPr>
          <w:lang w:eastAsia="zh-CN"/>
        </w:rPr>
        <w:t>X</w:t>
      </w:r>
      <w:r>
        <w:rPr>
          <w:lang w:eastAsia="zh-CN"/>
        </w:rPr>
        <w:t>信息通信</w:t>
      </w:r>
    </w:p>
    <w:p w14:paraId="5F66A313" w14:textId="339EF096" w:rsidR="00955CFC" w:rsidRDefault="00750CCB">
      <w:pPr>
        <w:pStyle w:val="3"/>
        <w:rPr>
          <w:lang w:eastAsia="zh-CN"/>
        </w:rPr>
      </w:pPr>
      <w:bookmarkStart w:id="3" w:name="第一部分信息物理融合能源系统"/>
      <w:r>
        <w:rPr>
          <w:lang w:eastAsia="zh-CN"/>
        </w:rPr>
        <w:t>第</w:t>
      </w:r>
      <w:r w:rsidR="00E658FC">
        <w:rPr>
          <w:rFonts w:hint="eastAsia"/>
          <w:lang w:eastAsia="zh-CN"/>
        </w:rPr>
        <w:t>三</w:t>
      </w:r>
      <w:r>
        <w:rPr>
          <w:lang w:eastAsia="zh-CN"/>
        </w:rPr>
        <w:t>部分：</w:t>
      </w:r>
      <w:r w:rsidR="00E658FC" w:rsidRPr="00E658FC">
        <w:rPr>
          <w:rFonts w:hint="eastAsia"/>
          <w:lang w:eastAsia="zh-CN"/>
        </w:rPr>
        <w:t>能源互联网中的信息通信需求与相关技术</w:t>
      </w:r>
    </w:p>
    <w:p w14:paraId="7F8B0024" w14:textId="25F7D15B" w:rsidR="00955CFC" w:rsidRDefault="00750CCB">
      <w:pPr>
        <w:pStyle w:val="4"/>
        <w:rPr>
          <w:lang w:eastAsia="zh-CN"/>
        </w:rPr>
      </w:pPr>
      <w:bookmarkStart w:id="4" w:name="汇报人-陈昊阳"/>
      <w:r>
        <w:rPr>
          <w:lang w:eastAsia="zh-CN"/>
        </w:rPr>
        <w:t>汇报人</w:t>
      </w:r>
      <w:r>
        <w:rPr>
          <w:lang w:eastAsia="zh-CN"/>
        </w:rPr>
        <w:t xml:space="preserve"> </w:t>
      </w:r>
      <w:r w:rsidR="00E658FC">
        <w:rPr>
          <w:rFonts w:hint="eastAsia"/>
          <w:lang w:eastAsia="zh-CN"/>
        </w:rPr>
        <w:t>王亮</w:t>
      </w:r>
    </w:p>
    <w:p w14:paraId="2F275C56" w14:textId="77777777" w:rsidR="00E658FC" w:rsidRPr="00E658FC" w:rsidRDefault="00E658FC" w:rsidP="00E658FC">
      <w:pPr>
        <w:pStyle w:val="a0"/>
        <w:rPr>
          <w:rFonts w:eastAsiaTheme="minorEastAsia" w:hint="eastAsia"/>
          <w:lang w:eastAsia="zh-CN"/>
        </w:rPr>
      </w:pPr>
    </w:p>
    <w:p w14:paraId="443EC8CF" w14:textId="389E61D7" w:rsidR="00955CFC" w:rsidRDefault="00E658FC">
      <w:pPr>
        <w:pStyle w:val="CaptionedFigure"/>
        <w:rPr>
          <w:lang w:eastAsia="zh-CN"/>
        </w:rPr>
      </w:pPr>
      <w:r>
        <w:rPr>
          <w:rFonts w:ascii="宋体" w:eastAsia="宋体" w:hAnsi="宋体" w:cs="宋体" w:hint="eastAsia"/>
          <w:color w:val="333333"/>
          <w:shd w:val="clear" w:color="auto" w:fill="FFFFFF"/>
          <w:lang w:eastAsia="zh-CN"/>
        </w:rPr>
        <w:t>我们先大体看一下这张体系结构图，他其实非常完整地覆盖了整个信息</w:t>
      </w:r>
      <w:proofErr w:type="gramStart"/>
      <w:r>
        <w:rPr>
          <w:rFonts w:ascii="宋体" w:eastAsia="宋体" w:hAnsi="宋体" w:cs="宋体" w:hint="eastAsia"/>
          <w:color w:val="333333"/>
          <w:shd w:val="clear" w:color="auto" w:fill="FFFFFF"/>
          <w:lang w:eastAsia="zh-CN"/>
        </w:rPr>
        <w:t>通信里</w:t>
      </w:r>
      <w:proofErr w:type="gramEnd"/>
      <w:r>
        <w:rPr>
          <w:rFonts w:ascii="宋体" w:eastAsia="宋体" w:hAnsi="宋体" w:cs="宋体" w:hint="eastAsia"/>
          <w:color w:val="333333"/>
          <w:shd w:val="clear" w:color="auto" w:fill="FFFFFF"/>
          <w:lang w:eastAsia="zh-CN"/>
        </w:rPr>
        <w:t>从信息的采集，传输，计算，分析，业务应用等各方面的详细细节，但概括地讲，整个信息通信围绕的核心可以比较粗略地概括为两点，一个是网络连接一个是计算分析，所以今天我就从两点切入来讲解能源互联网中的信息通信的需求与相关技术。</w:t>
      </w:r>
      <w:r w:rsidRPr="00E658FC">
        <w:rPr>
          <w:rFonts w:ascii="宋体" w:eastAsia="宋体" w:hAnsi="宋体" w:cs="宋体"/>
          <w:color w:val="333333"/>
          <w:shd w:val="clear" w:color="auto" w:fill="FFFFFF"/>
          <w:lang w:eastAsia="zh-CN"/>
        </w:rPr>
        <w:drawing>
          <wp:inline distT="0" distB="0" distL="0" distR="0" wp14:anchorId="2F1C5683" wp14:editId="59103D3A">
            <wp:extent cx="5486400" cy="3004185"/>
            <wp:effectExtent l="0" t="0" r="0" b="0"/>
            <wp:docPr id="9" name="图片 4">
              <a:extLst xmlns:a="http://schemas.openxmlformats.org/drawingml/2006/main">
                <a:ext uri="{FF2B5EF4-FFF2-40B4-BE49-F238E27FC236}">
                  <a16:creationId xmlns:a16="http://schemas.microsoft.com/office/drawing/2014/main" id="{91AC529B-1895-4CD4-8B3B-5AF3083D17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91AC529B-1895-4CD4-8B3B-5AF3083D171E}"/>
                        </a:ext>
                      </a:extLst>
                    </pic:cNvPr>
                    <pic:cNvPicPr>
                      <a:picLocks noChangeAspect="1"/>
                    </pic:cNvPicPr>
                  </pic:nvPicPr>
                  <pic:blipFill>
                    <a:blip r:embed="rId6"/>
                    <a:stretch>
                      <a:fillRect/>
                    </a:stretch>
                  </pic:blipFill>
                  <pic:spPr>
                    <a:xfrm>
                      <a:off x="0" y="0"/>
                      <a:ext cx="5486400" cy="3004185"/>
                    </a:xfrm>
                    <a:prstGeom prst="rect">
                      <a:avLst/>
                    </a:prstGeom>
                  </pic:spPr>
                </pic:pic>
              </a:graphicData>
            </a:graphic>
          </wp:inline>
        </w:drawing>
      </w:r>
    </w:p>
    <w:p w14:paraId="645187C7" w14:textId="77777777" w:rsidR="00E658FC" w:rsidRDefault="00E658FC" w:rsidP="00E658FC">
      <w:pPr>
        <w:pStyle w:val="md-end-block"/>
        <w:spacing w:before="192" w:beforeAutospacing="0" w:after="192" w:afterAutospacing="0"/>
        <w:rPr>
          <w:rFonts w:ascii="Helvetica Neue" w:hAnsi="Helvetica Neue"/>
          <w:color w:val="333333"/>
        </w:rPr>
      </w:pPr>
      <w:r>
        <w:rPr>
          <w:rStyle w:val="md-plain"/>
          <w:rFonts w:ascii="Helvetica Neue" w:hAnsi="Helvetica Neue"/>
          <w:color w:val="333333"/>
        </w:rPr>
        <w:t>先谈网络方面，网络方面</w:t>
      </w:r>
      <w:proofErr w:type="gramStart"/>
      <w:r>
        <w:rPr>
          <w:rStyle w:val="md-plain"/>
          <w:rFonts w:ascii="Helvetica Neue" w:hAnsi="Helvetica Neue"/>
          <w:color w:val="333333"/>
        </w:rPr>
        <w:t>我总体</w:t>
      </w:r>
      <w:proofErr w:type="gramEnd"/>
      <w:r>
        <w:rPr>
          <w:rStyle w:val="md-plain"/>
          <w:rFonts w:ascii="Helvetica Neue" w:hAnsi="Helvetica Neue"/>
          <w:color w:val="333333"/>
        </w:rPr>
        <w:t>的观点是要有一个灵活的网络设计，我们可以结合能源互联网自身特点的需要，入手这样灵活的网络具体在哪些方面灵活，有多大程度的灵活性。</w:t>
      </w:r>
    </w:p>
    <w:p w14:paraId="26D2C273" w14:textId="3D003D1B" w:rsidR="00E658FC" w:rsidRDefault="00E658FC" w:rsidP="00E658FC">
      <w:pPr>
        <w:pStyle w:val="md-end-block"/>
        <w:spacing w:before="192" w:beforeAutospacing="0" w:after="192" w:afterAutospacing="0"/>
        <w:rPr>
          <w:rStyle w:val="md-plain"/>
          <w:rFonts w:ascii="Helvetica Neue" w:hAnsi="Helvetica Neue"/>
          <w:color w:val="333333"/>
        </w:rPr>
      </w:pPr>
      <w:r>
        <w:rPr>
          <w:rStyle w:val="md-plain"/>
          <w:rFonts w:ascii="Helvetica Neue" w:hAnsi="Helvetica Neue"/>
          <w:color w:val="333333"/>
        </w:rPr>
        <w:t>第一点是开放互联。我们知道传统的电网、天然气网等为代表的能源网络基本处于自封闭状态，而能源互联网则要实现一种开放性，需要面向各种可再生能源、以及相关的储能以及用能装置的动态的</w:t>
      </w:r>
      <w:r>
        <w:rPr>
          <w:rStyle w:val="md-plain"/>
          <w:rFonts w:ascii="Helvetica Neue" w:hAnsi="Helvetica Neue"/>
          <w:color w:val="333333"/>
        </w:rPr>
        <w:t>“</w:t>
      </w:r>
      <w:r>
        <w:rPr>
          <w:rStyle w:val="md-plain"/>
          <w:rFonts w:ascii="Helvetica Neue" w:hAnsi="Helvetica Neue"/>
          <w:color w:val="333333"/>
        </w:rPr>
        <w:t>即插即用</w:t>
      </w:r>
      <w:r>
        <w:rPr>
          <w:rStyle w:val="md-plain"/>
          <w:rFonts w:ascii="Helvetica Neue" w:hAnsi="Helvetica Neue"/>
          <w:color w:val="333333"/>
        </w:rPr>
        <w:t>”</w:t>
      </w:r>
      <w:r>
        <w:rPr>
          <w:rStyle w:val="md-plain"/>
          <w:rFonts w:ascii="Helvetica Neue" w:hAnsi="Helvetica Neue"/>
          <w:color w:val="333333"/>
        </w:rPr>
        <w:t>，实现产能与用能实体的灵活接入和实时平衡，完成区域到广域的能源互联，这需要跨能源域、多种形式能源实体的互联协议的支持。比如图上展示的，生物质</w:t>
      </w:r>
      <w:r>
        <w:rPr>
          <w:rStyle w:val="md-plain"/>
          <w:rFonts w:ascii="Helvetica Neue" w:hAnsi="Helvetica Neue"/>
          <w:color w:val="333333"/>
        </w:rPr>
        <w:t xml:space="preserve"> </w:t>
      </w:r>
      <w:r>
        <w:rPr>
          <w:rStyle w:val="md-plain"/>
          <w:rFonts w:ascii="Helvetica Neue" w:hAnsi="Helvetica Neue"/>
          <w:color w:val="333333"/>
        </w:rPr>
        <w:t>地热</w:t>
      </w:r>
      <w:r>
        <w:rPr>
          <w:rStyle w:val="md-plain"/>
          <w:rFonts w:ascii="Helvetica Neue" w:hAnsi="Helvetica Neue"/>
          <w:color w:val="333333"/>
        </w:rPr>
        <w:t xml:space="preserve"> </w:t>
      </w:r>
      <w:r>
        <w:rPr>
          <w:rStyle w:val="md-plain"/>
          <w:rFonts w:ascii="Helvetica Neue" w:hAnsi="Helvetica Neue"/>
          <w:color w:val="333333"/>
        </w:rPr>
        <w:t>沼气等在不同区域的供能系统之间的互联组合，可能他们生成的能源形态规格存在差异，需要某种互联协议进行协调</w:t>
      </w:r>
      <w:r>
        <w:rPr>
          <w:rStyle w:val="md-plain"/>
          <w:rFonts w:ascii="Helvetica Neue" w:hAnsi="Helvetica Neue"/>
          <w:color w:val="333333"/>
        </w:rPr>
        <w:lastRenderedPageBreak/>
        <w:t>调控。总结一下，开放互联是能源互联网体系构建的基本特征，是能源信息</w:t>
      </w:r>
      <w:proofErr w:type="gramStart"/>
      <w:r>
        <w:rPr>
          <w:rStyle w:val="md-plain"/>
          <w:rFonts w:ascii="Helvetica Neue" w:hAnsi="Helvetica Neue"/>
          <w:color w:val="333333"/>
        </w:rPr>
        <w:t>交互和</w:t>
      </w:r>
      <w:proofErr w:type="gramEnd"/>
      <w:r>
        <w:rPr>
          <w:rStyle w:val="md-plain"/>
          <w:rFonts w:ascii="Helvetica Neue" w:hAnsi="Helvetica Neue"/>
          <w:color w:val="333333"/>
        </w:rPr>
        <w:t>各种数据运算的前提条件。</w:t>
      </w:r>
      <w:r>
        <w:rPr>
          <w:rStyle w:val="md-plain"/>
          <w:rFonts w:ascii="Helvetica Neue" w:hAnsi="Helvetica Neue"/>
          <w:color w:val="333333"/>
        </w:rPr>
        <w:t xml:space="preserve"> </w:t>
      </w:r>
    </w:p>
    <w:p w14:paraId="4D351A09" w14:textId="4A786DEF" w:rsidR="00E658FC" w:rsidRDefault="00E658FC" w:rsidP="00E658FC">
      <w:pPr>
        <w:pStyle w:val="md-end-block"/>
        <w:spacing w:before="192" w:beforeAutospacing="0" w:after="192" w:afterAutospacing="0"/>
        <w:rPr>
          <w:rFonts w:ascii="Helvetica Neue" w:hAnsi="Helvetica Neue"/>
          <w:color w:val="333333"/>
        </w:rPr>
      </w:pPr>
      <w:r w:rsidRPr="00E658FC">
        <w:rPr>
          <w:rFonts w:ascii="Helvetica Neue" w:hAnsi="Helvetica Neue"/>
          <w:color w:val="333333"/>
        </w:rPr>
        <w:drawing>
          <wp:inline distT="0" distB="0" distL="0" distR="0" wp14:anchorId="091E4757" wp14:editId="69A37C17">
            <wp:extent cx="5422859" cy="3429000"/>
            <wp:effectExtent l="0" t="0" r="6985" b="0"/>
            <wp:docPr id="12" name="图片 11">
              <a:extLst xmlns:a="http://schemas.openxmlformats.org/drawingml/2006/main">
                <a:ext uri="{FF2B5EF4-FFF2-40B4-BE49-F238E27FC236}">
                  <a16:creationId xmlns:a16="http://schemas.microsoft.com/office/drawing/2014/main" id="{DD29D641-F99B-4B29-91D2-3346801BCB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DD29D641-F99B-4B29-91D2-3346801BCB93}"/>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422859" cy="3429000"/>
                    </a:xfrm>
                    <a:prstGeom prst="rect">
                      <a:avLst/>
                    </a:prstGeom>
                  </pic:spPr>
                </pic:pic>
              </a:graphicData>
            </a:graphic>
          </wp:inline>
        </w:drawing>
      </w:r>
    </w:p>
    <w:p w14:paraId="7E7A717E" w14:textId="5D4D4995" w:rsidR="00E658FC" w:rsidRDefault="00E658FC" w:rsidP="00E658FC">
      <w:pPr>
        <w:pStyle w:val="md-end-block"/>
        <w:spacing w:before="192" w:beforeAutospacing="0" w:after="192" w:afterAutospacing="0"/>
        <w:rPr>
          <w:rStyle w:val="md-plain"/>
          <w:rFonts w:ascii="Helvetica Neue" w:hAnsi="Helvetica Neue"/>
          <w:color w:val="333333"/>
        </w:rPr>
      </w:pPr>
      <w:r>
        <w:rPr>
          <w:rStyle w:val="md-plain"/>
          <w:rFonts w:ascii="Helvetica Neue" w:hAnsi="Helvetica Neue"/>
          <w:color w:val="333333"/>
        </w:rPr>
        <w:t>第二点是对等分享。如图上展示，与传统电网自顶向下的树状结构相比，能源互联网的形成是自下而上的各能源自治单元之间的对等互联。在能源互联网架构体系中，（图上展示）所有包括大规模发电厂、储能站、家庭用户在内的能源实体都以对等的形式存在，各种形式的能源（燃气、光伏、风力）连接在网络中都是动态互为备用（燃气断了，换风力接进来），这种对等分享的方式对能源互联网的分布式形态有很好的支撑，因为他整体上具有很强的自我调整空间，且可以保证冗余和可靠性。在这之上，能源互联网也借鉴了互联网的信息分享机制，实现不同子网、区域关键信息的共享，从而支撑前述的跨域能源调度与管理。</w:t>
      </w:r>
    </w:p>
    <w:p w14:paraId="790CBE6E" w14:textId="610D17B7" w:rsidR="00E658FC" w:rsidRDefault="00E658FC" w:rsidP="00E658FC">
      <w:pPr>
        <w:pStyle w:val="md-end-block"/>
        <w:spacing w:before="192" w:beforeAutospacing="0" w:after="192" w:afterAutospacing="0"/>
        <w:rPr>
          <w:rFonts w:ascii="Helvetica Neue" w:hAnsi="Helvetica Neue"/>
          <w:color w:val="333333"/>
        </w:rPr>
      </w:pPr>
      <w:r w:rsidRPr="00E658FC">
        <w:rPr>
          <w:rFonts w:ascii="Helvetica Neue" w:hAnsi="Helvetica Neue"/>
          <w:color w:val="333333"/>
        </w:rPr>
        <w:lastRenderedPageBreak/>
        <w:drawing>
          <wp:inline distT="0" distB="0" distL="0" distR="0" wp14:anchorId="5940EC85" wp14:editId="2ABE9996">
            <wp:extent cx="4261048" cy="3905497"/>
            <wp:effectExtent l="0" t="0" r="6350" b="0"/>
            <wp:docPr id="10" name="图片 11">
              <a:extLst xmlns:a="http://schemas.openxmlformats.org/drawingml/2006/main">
                <a:ext uri="{FF2B5EF4-FFF2-40B4-BE49-F238E27FC236}">
                  <a16:creationId xmlns:a16="http://schemas.microsoft.com/office/drawing/2014/main" id="{B83A786D-7321-458F-9DEF-9D7AB2377E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B83A786D-7321-458F-9DEF-9D7AB2377E36}"/>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261048" cy="3905497"/>
                    </a:xfrm>
                    <a:prstGeom prst="rect">
                      <a:avLst/>
                    </a:prstGeom>
                  </pic:spPr>
                </pic:pic>
              </a:graphicData>
            </a:graphic>
          </wp:inline>
        </w:drawing>
      </w:r>
    </w:p>
    <w:p w14:paraId="4E53A8F6" w14:textId="072D934A" w:rsidR="00E658FC" w:rsidRDefault="00E658FC" w:rsidP="00E658FC">
      <w:pPr>
        <w:pStyle w:val="md-end-block"/>
        <w:spacing w:before="192" w:beforeAutospacing="0" w:after="192" w:afterAutospacing="0"/>
        <w:rPr>
          <w:rFonts w:ascii="Helvetica Neue" w:hAnsi="Helvetica Neue" w:hint="eastAsia"/>
          <w:color w:val="333333"/>
        </w:rPr>
      </w:pPr>
      <w:r w:rsidRPr="00E658FC">
        <w:rPr>
          <w:rFonts w:ascii="Helvetica Neue" w:hAnsi="Helvetica Neue"/>
          <w:color w:val="333333"/>
        </w:rPr>
        <w:drawing>
          <wp:inline distT="0" distB="0" distL="0" distR="0" wp14:anchorId="7A782B5C" wp14:editId="6F247270">
            <wp:extent cx="3291840" cy="2216849"/>
            <wp:effectExtent l="0" t="0" r="3810" b="0"/>
            <wp:docPr id="14" name="图片 13">
              <a:extLst xmlns:a="http://schemas.openxmlformats.org/drawingml/2006/main">
                <a:ext uri="{FF2B5EF4-FFF2-40B4-BE49-F238E27FC236}">
                  <a16:creationId xmlns:a16="http://schemas.microsoft.com/office/drawing/2014/main" id="{48A64917-AEE6-4255-8212-2AA14C8DA2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a:extLst>
                        <a:ext uri="{FF2B5EF4-FFF2-40B4-BE49-F238E27FC236}">
                          <a16:creationId xmlns:a16="http://schemas.microsoft.com/office/drawing/2014/main" id="{48A64917-AEE6-4255-8212-2AA14C8DA21D}"/>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291840" cy="2216849"/>
                    </a:xfrm>
                    <a:prstGeom prst="rect">
                      <a:avLst/>
                    </a:prstGeom>
                  </pic:spPr>
                </pic:pic>
              </a:graphicData>
            </a:graphic>
          </wp:inline>
        </w:drawing>
      </w:r>
    </w:p>
    <w:p w14:paraId="3A60E60F" w14:textId="098EF14A" w:rsidR="00E658FC" w:rsidRDefault="00E658FC" w:rsidP="00E658FC">
      <w:pPr>
        <w:pStyle w:val="md-end-block"/>
        <w:spacing w:before="192" w:beforeAutospacing="0" w:after="192" w:afterAutospacing="0"/>
        <w:rPr>
          <w:rStyle w:val="md-plain"/>
          <w:rFonts w:ascii="Helvetica Neue" w:hAnsi="Helvetica Neue"/>
          <w:color w:val="333333"/>
        </w:rPr>
      </w:pPr>
      <w:r>
        <w:rPr>
          <w:rStyle w:val="md-plain"/>
          <w:rFonts w:ascii="Helvetica Neue" w:hAnsi="Helvetica Neue"/>
          <w:color w:val="333333"/>
        </w:rPr>
        <w:t>最后一点点是智能高效。与传统电网等相比，能源互联网的智能性突出体现在多种能源的协同传输与控制、并且强调用户与能源基础设施与平台的互动操作和能源互联网的自身的智能化认知，运行数据</w:t>
      </w:r>
      <w:r>
        <w:rPr>
          <w:rStyle w:val="md-plain"/>
          <w:rFonts w:ascii="Helvetica Neue" w:hAnsi="Helvetica Neue"/>
          <w:color w:val="333333"/>
        </w:rPr>
        <w:t xml:space="preserve"> </w:t>
      </w:r>
      <w:r>
        <w:rPr>
          <w:rStyle w:val="md-plain"/>
          <w:rFonts w:ascii="Helvetica Neue" w:hAnsi="Helvetica Neue"/>
          <w:color w:val="333333"/>
        </w:rPr>
        <w:t>分析结论</w:t>
      </w:r>
      <w:r>
        <w:rPr>
          <w:rStyle w:val="md-plain"/>
          <w:rFonts w:ascii="Helvetica Neue" w:hAnsi="Helvetica Neue"/>
          <w:color w:val="333333"/>
        </w:rPr>
        <w:t xml:space="preserve"> </w:t>
      </w:r>
      <w:r>
        <w:rPr>
          <w:rStyle w:val="md-plain"/>
          <w:rFonts w:ascii="Helvetica Neue" w:hAnsi="Helvetica Neue"/>
          <w:color w:val="333333"/>
        </w:rPr>
        <w:t>平台</w:t>
      </w:r>
      <w:r>
        <w:rPr>
          <w:rStyle w:val="md-plain"/>
          <w:rFonts w:ascii="Helvetica Neue" w:hAnsi="Helvetica Neue"/>
          <w:color w:val="333333"/>
        </w:rPr>
        <w:t xml:space="preserve"> </w:t>
      </w:r>
      <w:r>
        <w:rPr>
          <w:rStyle w:val="md-plain"/>
          <w:rFonts w:ascii="Helvetica Neue" w:hAnsi="Helvetica Neue"/>
          <w:color w:val="333333"/>
        </w:rPr>
        <w:t>用户。而能源互联网的高效性则体现在适配不同能源接入，对能源网络架构的灵活高效设计、在于能源储存转发和调度的高效响应机制，这一定程度上要求能源互联网在自身状态分析与决策的快速计算能力。</w:t>
      </w:r>
    </w:p>
    <w:p w14:paraId="4BCB62AC" w14:textId="7368554D" w:rsidR="00E658FC" w:rsidRDefault="00E658FC" w:rsidP="00E658FC">
      <w:pPr>
        <w:pStyle w:val="md-end-block"/>
        <w:spacing w:before="192" w:beforeAutospacing="0" w:after="192" w:afterAutospacing="0"/>
        <w:rPr>
          <w:rFonts w:ascii="Helvetica Neue" w:hAnsi="Helvetica Neue" w:hint="eastAsia"/>
          <w:color w:val="333333"/>
        </w:rPr>
      </w:pPr>
      <w:r w:rsidRPr="00E658FC">
        <w:rPr>
          <w:rFonts w:ascii="Helvetica Neue" w:hAnsi="Helvetica Neue"/>
          <w:color w:val="333333"/>
        </w:rPr>
        <w:lastRenderedPageBreak/>
        <w:drawing>
          <wp:inline distT="0" distB="0" distL="0" distR="0" wp14:anchorId="049D7239" wp14:editId="0E22393D">
            <wp:extent cx="5486400" cy="3016885"/>
            <wp:effectExtent l="0" t="0" r="0" b="0"/>
            <wp:docPr id="11" name="图片 10">
              <a:extLst xmlns:a="http://schemas.openxmlformats.org/drawingml/2006/main">
                <a:ext uri="{FF2B5EF4-FFF2-40B4-BE49-F238E27FC236}">
                  <a16:creationId xmlns:a16="http://schemas.microsoft.com/office/drawing/2014/main" id="{DE03D34E-A00B-4FB3-9439-E81107FDFD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DE03D34E-A00B-4FB3-9439-E81107FDFD3B}"/>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486400" cy="3016885"/>
                    </a:xfrm>
                    <a:prstGeom prst="rect">
                      <a:avLst/>
                    </a:prstGeom>
                  </pic:spPr>
                </pic:pic>
              </a:graphicData>
            </a:graphic>
          </wp:inline>
        </w:drawing>
      </w:r>
    </w:p>
    <w:p w14:paraId="3266ADE2" w14:textId="77777777" w:rsidR="00E658FC" w:rsidRDefault="00E658FC" w:rsidP="00E658FC">
      <w:pPr>
        <w:pStyle w:val="md-end-block"/>
        <w:spacing w:before="192" w:beforeAutospacing="0" w:after="192" w:afterAutospacing="0"/>
        <w:rPr>
          <w:rFonts w:ascii="Helvetica Neue" w:hAnsi="Helvetica Neue"/>
          <w:color w:val="333333"/>
        </w:rPr>
      </w:pPr>
      <w:r>
        <w:rPr>
          <w:rStyle w:val="md-plain"/>
          <w:rFonts w:ascii="Helvetica Neue" w:hAnsi="Helvetica Neue"/>
          <w:color w:val="333333"/>
        </w:rPr>
        <w:t>提到了计算能力，另一部分是计算分析部分。</w:t>
      </w:r>
    </w:p>
    <w:p w14:paraId="2829882D" w14:textId="4B4CBC42" w:rsidR="00E658FC" w:rsidRDefault="00E658FC" w:rsidP="00E658FC">
      <w:pPr>
        <w:pStyle w:val="md-end-block"/>
        <w:spacing w:before="192" w:beforeAutospacing="0" w:after="192" w:afterAutospacing="0"/>
        <w:rPr>
          <w:rStyle w:val="md-plain"/>
          <w:rFonts w:ascii="Helvetica Neue" w:hAnsi="Helvetica Neue"/>
          <w:color w:val="333333"/>
        </w:rPr>
      </w:pPr>
      <w:r>
        <w:rPr>
          <w:rStyle w:val="md-plain"/>
          <w:rFonts w:ascii="Helvetica Neue" w:hAnsi="Helvetica Neue"/>
          <w:color w:val="333333"/>
        </w:rPr>
        <w:t>总体而言，强调的是高效的数据交换处理能力和智能的数据分析。能源互联网对数据处理要求是很高的，主要与面对的具体问题有关。一是数据洪流问题，各种设施、各个区域、各种规格，信息种类数量相当的多，这时就需要高效的数据处理能力实现数据有效筛选与管理，也需要规范的分析流程来保障相关企业标准化高效运作，从而为用户提供更优质的服务。</w:t>
      </w:r>
      <w:r>
        <w:rPr>
          <w:rStyle w:val="md-plain"/>
          <w:rFonts w:ascii="Helvetica Neue" w:hAnsi="Helvetica Neue"/>
          <w:color w:val="333333"/>
        </w:rPr>
        <w:t xml:space="preserve"> </w:t>
      </w:r>
      <w:r>
        <w:rPr>
          <w:rStyle w:val="md-plain"/>
          <w:rFonts w:ascii="Helvetica Neue" w:hAnsi="Helvetica Neue"/>
          <w:color w:val="333333"/>
        </w:rPr>
        <w:t>第二是配置上的问题。能源互联网一大目标是实现能源网络内部和之间的能源合理配置，在总体上实现绿色高效，而智能分析与决策能力将是实现这一目标的关键。这一点比较依赖后续两个要提到技术，先按下不表。第三点是数据交换，在能源互联网应用下需要研究的是能实现广域、多源、大数据量的数据交换技术。为此可能需要研究将分布式、集中式、跨域、级联相结合的数据交换技术，</w:t>
      </w:r>
      <w:r>
        <w:rPr>
          <w:rStyle w:val="md-plain"/>
          <w:rFonts w:ascii="Helvetica Neue" w:hAnsi="Helvetica Neue"/>
          <w:color w:val="333333"/>
        </w:rPr>
        <w:t xml:space="preserve"> </w:t>
      </w:r>
      <w:r>
        <w:rPr>
          <w:rStyle w:val="md-plain"/>
          <w:rFonts w:ascii="Helvetica Neue" w:hAnsi="Helvetica Neue"/>
          <w:color w:val="333333"/>
        </w:rPr>
        <w:t>满足新能源接入、部分能源替代、节能环保要求。还需要面向未来扩展，考虑未来智能电网各种终端接入形成的广泛互联带来的各种交互。最后是信息融合，由于能源互联网内融合了大量的智能化设备，导致数据存在体量大、数据结构复杂、数据利用率低的特点。但是这些数据是能源互联网本身运行的自然结果，通过深入挖掘并将这一部分信息融合到能源互联网的运作中，进而为能源互联网整体像电力调度和系统调控的决策提供数据支撑。</w:t>
      </w:r>
    </w:p>
    <w:p w14:paraId="59DEFF40" w14:textId="17213C65" w:rsidR="00E658FC" w:rsidRDefault="00E658FC" w:rsidP="00E658FC">
      <w:pPr>
        <w:pStyle w:val="md-end-block"/>
        <w:spacing w:before="192" w:beforeAutospacing="0" w:after="192" w:afterAutospacing="0"/>
        <w:rPr>
          <w:rFonts w:ascii="Helvetica Neue" w:hAnsi="Helvetica Neue" w:hint="eastAsia"/>
          <w:color w:val="333333"/>
        </w:rPr>
      </w:pPr>
      <w:r w:rsidRPr="00E658FC">
        <w:rPr>
          <w:rFonts w:ascii="Helvetica Neue" w:hAnsi="Helvetica Neue"/>
          <w:color w:val="333333"/>
        </w:rPr>
        <w:lastRenderedPageBreak/>
        <w:drawing>
          <wp:inline distT="0" distB="0" distL="0" distR="0" wp14:anchorId="7116B75F" wp14:editId="0F8598B2">
            <wp:extent cx="5423075" cy="3397096"/>
            <wp:effectExtent l="0" t="0" r="6350" b="0"/>
            <wp:docPr id="5" name="图片 4">
              <a:extLst xmlns:a="http://schemas.openxmlformats.org/drawingml/2006/main">
                <a:ext uri="{FF2B5EF4-FFF2-40B4-BE49-F238E27FC236}">
                  <a16:creationId xmlns:a16="http://schemas.microsoft.com/office/drawing/2014/main" id="{5FE50A4A-F0AB-494F-B792-C9DB0F5C13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5FE50A4A-F0AB-494F-B792-C9DB0F5C1300}"/>
                        </a:ext>
                      </a:extLst>
                    </pic:cNvPr>
                    <pic:cNvPicPr>
                      <a:picLocks noChangeAspect="1"/>
                    </pic:cNvPicPr>
                  </pic:nvPicPr>
                  <pic:blipFill>
                    <a:blip r:embed="rId11"/>
                    <a:stretch>
                      <a:fillRect/>
                    </a:stretch>
                  </pic:blipFill>
                  <pic:spPr>
                    <a:xfrm>
                      <a:off x="0" y="0"/>
                      <a:ext cx="5423075" cy="3397096"/>
                    </a:xfrm>
                    <a:prstGeom prst="rect">
                      <a:avLst/>
                    </a:prstGeom>
                  </pic:spPr>
                </pic:pic>
              </a:graphicData>
            </a:graphic>
          </wp:inline>
        </w:drawing>
      </w:r>
    </w:p>
    <w:p w14:paraId="5C59EE5A" w14:textId="77777777" w:rsidR="00E658FC" w:rsidRDefault="00E658FC" w:rsidP="00E658FC">
      <w:pPr>
        <w:pStyle w:val="md-end-block"/>
        <w:spacing w:before="192" w:beforeAutospacing="0" w:after="192" w:afterAutospacing="0"/>
        <w:rPr>
          <w:rFonts w:ascii="Helvetica Neue" w:hAnsi="Helvetica Neue"/>
          <w:color w:val="333333"/>
        </w:rPr>
      </w:pPr>
      <w:r>
        <w:rPr>
          <w:rStyle w:val="md-plain"/>
          <w:rFonts w:ascii="Helvetica Neue" w:hAnsi="Helvetica Neue"/>
          <w:color w:val="333333"/>
        </w:rPr>
        <w:t>考虑到数据支撑和智能化的分析。</w:t>
      </w:r>
    </w:p>
    <w:p w14:paraId="0119E1E5" w14:textId="77777777" w:rsidR="00E658FC" w:rsidRDefault="00E658FC" w:rsidP="00E658FC">
      <w:pPr>
        <w:pStyle w:val="md-end-block"/>
        <w:spacing w:before="192" w:beforeAutospacing="0" w:after="192" w:afterAutospacing="0"/>
        <w:rPr>
          <w:rFonts w:ascii="Helvetica Neue" w:hAnsi="Helvetica Neue"/>
          <w:color w:val="333333"/>
        </w:rPr>
      </w:pPr>
      <w:r>
        <w:rPr>
          <w:rStyle w:val="md-plain"/>
          <w:rFonts w:ascii="Helvetica Neue" w:hAnsi="Helvetica Neue"/>
          <w:color w:val="333333"/>
        </w:rPr>
        <w:t>进一步讨论用于实现计算分析需求的一些技术包括像数据挖掘和人工智能相关的支持。</w:t>
      </w:r>
    </w:p>
    <w:p w14:paraId="58FBB095" w14:textId="25D4D269" w:rsidR="00E658FC" w:rsidRDefault="00E658FC" w:rsidP="00E658FC">
      <w:pPr>
        <w:pStyle w:val="md-end-block"/>
        <w:spacing w:before="192" w:beforeAutospacing="0" w:after="192" w:afterAutospacing="0"/>
        <w:rPr>
          <w:rStyle w:val="md-plain"/>
          <w:rFonts w:ascii="Helvetica Neue" w:hAnsi="Helvetica Neue"/>
          <w:color w:val="333333"/>
        </w:rPr>
      </w:pPr>
      <w:r>
        <w:rPr>
          <w:rStyle w:val="md-plain"/>
          <w:rFonts w:ascii="Helvetica Neue" w:hAnsi="Helvetica Neue"/>
          <w:color w:val="333333"/>
        </w:rPr>
        <w:t>比如说数据挖掘是从大量的数据中通过算法搜索隐藏于其中信息的过程。</w:t>
      </w:r>
      <w:r>
        <w:rPr>
          <w:rStyle w:val="md-plain"/>
          <w:rFonts w:ascii="Helvetica Neue" w:hAnsi="Helvetica Neue"/>
          <w:color w:val="333333"/>
        </w:rPr>
        <w:t xml:space="preserve"> </w:t>
      </w:r>
      <w:r>
        <w:rPr>
          <w:rStyle w:val="md-plain"/>
          <w:rFonts w:ascii="Helvetica Neue" w:hAnsi="Helvetica Neue"/>
          <w:color w:val="333333"/>
        </w:rPr>
        <w:t>以电力行业信息化和工业化融合发展为例，这一变化促使电力行业数据迅速增长和不断融合，形成了电力大数据。在电网体系中迅速积累了大量的电网运行数据，这时可以通过对电力大数据复杂关联特征做分析，实现数据价值的深度挖掘。大数据分析的理论核心就是数据挖掘算法，通过对电力海量数据进行处理，促进电力大数据在电力生产和企业经营管理中的应用，可以更好地服务节能减排、服务经济社会发展、服务资源节约型和环境友好型企业建设。比如基于大量用户用电特征数据分析配用电分布，进而实现各区的负荷预测、用电调度等等。</w:t>
      </w:r>
    </w:p>
    <w:p w14:paraId="7098C322" w14:textId="7873BA2C" w:rsidR="00E658FC" w:rsidRDefault="00E658FC" w:rsidP="00E658FC">
      <w:pPr>
        <w:pStyle w:val="md-end-block"/>
        <w:spacing w:before="192" w:beforeAutospacing="0" w:after="192" w:afterAutospacing="0"/>
        <w:rPr>
          <w:rFonts w:ascii="Helvetica Neue" w:hAnsi="Helvetica Neue" w:hint="eastAsia"/>
          <w:color w:val="333333"/>
        </w:rPr>
      </w:pPr>
      <w:r w:rsidRPr="00E658FC">
        <w:rPr>
          <w:rFonts w:ascii="Helvetica Neue" w:hAnsi="Helvetica Neue"/>
          <w:color w:val="333333"/>
        </w:rPr>
        <w:lastRenderedPageBreak/>
        <w:drawing>
          <wp:inline distT="0" distB="0" distL="0" distR="0" wp14:anchorId="0ABA33EE" wp14:editId="0F450381">
            <wp:extent cx="5486400" cy="3820160"/>
            <wp:effectExtent l="0" t="0" r="0" b="0"/>
            <wp:docPr id="1026" name="Picture 2" descr="查看源图像">
              <a:extLst xmlns:a="http://schemas.openxmlformats.org/drawingml/2006/main">
                <a:ext uri="{FF2B5EF4-FFF2-40B4-BE49-F238E27FC236}">
                  <a16:creationId xmlns:a16="http://schemas.microsoft.com/office/drawing/2014/main" id="{B917F52C-B739-4A2A-8A50-1D59A2BFE7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查看源图像">
                      <a:extLst>
                        <a:ext uri="{FF2B5EF4-FFF2-40B4-BE49-F238E27FC236}">
                          <a16:creationId xmlns:a16="http://schemas.microsoft.com/office/drawing/2014/main" id="{B917F52C-B739-4A2A-8A50-1D59A2BFE73A}"/>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3820160"/>
                    </a:xfrm>
                    <a:prstGeom prst="rect">
                      <a:avLst/>
                    </a:prstGeom>
                    <a:noFill/>
                  </pic:spPr>
                </pic:pic>
              </a:graphicData>
            </a:graphic>
          </wp:inline>
        </w:drawing>
      </w:r>
    </w:p>
    <w:p w14:paraId="4AB22C48" w14:textId="77777777" w:rsidR="00E658FC" w:rsidRDefault="00E658FC" w:rsidP="00E658FC">
      <w:pPr>
        <w:pStyle w:val="md-end-block"/>
        <w:spacing w:before="192" w:beforeAutospacing="0" w:after="192" w:afterAutospacing="0"/>
        <w:rPr>
          <w:rFonts w:ascii="Helvetica Neue" w:hAnsi="Helvetica Neue"/>
          <w:color w:val="333333"/>
        </w:rPr>
      </w:pPr>
      <w:r>
        <w:rPr>
          <w:rStyle w:val="md-plain"/>
          <w:rFonts w:ascii="Helvetica Neue" w:hAnsi="Helvetica Neue"/>
          <w:color w:val="333333"/>
        </w:rPr>
        <w:t>还有一个是人工智能技术。</w:t>
      </w:r>
    </w:p>
    <w:p w14:paraId="30599788" w14:textId="06D480C5" w:rsidR="00E658FC" w:rsidRDefault="00E658FC" w:rsidP="00E658FC">
      <w:pPr>
        <w:pStyle w:val="md-end-block"/>
        <w:spacing w:before="192" w:beforeAutospacing="0" w:after="192" w:afterAutospacing="0"/>
        <w:rPr>
          <w:rStyle w:val="md-plain"/>
          <w:rFonts w:ascii="Helvetica Neue" w:hAnsi="Helvetica Neue"/>
          <w:color w:val="333333"/>
        </w:rPr>
      </w:pPr>
      <w:r>
        <w:rPr>
          <w:rStyle w:val="md-plain"/>
          <w:rFonts w:ascii="Helvetica Neue" w:hAnsi="Helvetica Neue"/>
          <w:color w:val="333333"/>
        </w:rPr>
        <w:t>人工智能的应用主要在于有助于能源互联网未来具备自我学习、自我进化的能力，智能地将发电、用电、储电设备通过互联网广泛地接入能源互联网平台，让各类智能终端之间互联，从而具备更进一步的智能化水平，并且通过先进的算法和工具实现机器智能学习功能，使能源终端和响应策略自动更新优化，提高整个能源互联网的智能化水平。依托智能化水平能够做出一些智能化的分析预测，比如智能化分析预测技术在电力方向的应用与研究</w:t>
      </w:r>
      <w:r>
        <w:rPr>
          <w:rStyle w:val="md-plain"/>
          <w:rFonts w:ascii="Helvetica Neue" w:hAnsi="Helvetica Neue"/>
          <w:color w:val="333333"/>
        </w:rPr>
        <w:t>-</w:t>
      </w:r>
      <w:r>
        <w:rPr>
          <w:rStyle w:val="md-plain"/>
          <w:rFonts w:ascii="Helvetica Neue" w:hAnsi="Helvetica Neue"/>
          <w:color w:val="333333"/>
        </w:rPr>
        <w:t>电力负荷主成分分析、确定影响电力负荷的主要因素、负荷预测建模以及负荷预测算法。此外，</w:t>
      </w:r>
      <w:r>
        <w:rPr>
          <w:rStyle w:val="md-plain"/>
          <w:rFonts w:ascii="Helvetica Neue" w:hAnsi="Helvetica Neue"/>
          <w:color w:val="333333"/>
        </w:rPr>
        <w:t xml:space="preserve"> </w:t>
      </w:r>
      <w:r>
        <w:rPr>
          <w:rStyle w:val="md-plain"/>
          <w:rFonts w:ascii="Helvetica Neue" w:hAnsi="Helvetica Neue"/>
          <w:color w:val="333333"/>
        </w:rPr>
        <w:t>无论能源互联网形态</w:t>
      </w:r>
      <w:proofErr w:type="gramStart"/>
      <w:r>
        <w:rPr>
          <w:rStyle w:val="md-plain"/>
          <w:rFonts w:ascii="Helvetica Neue" w:hAnsi="Helvetica Neue"/>
          <w:color w:val="333333"/>
        </w:rPr>
        <w:t>是微网还是</w:t>
      </w:r>
      <w:proofErr w:type="gramEnd"/>
      <w:r>
        <w:rPr>
          <w:rStyle w:val="md-plain"/>
          <w:rFonts w:ascii="Helvetica Neue" w:hAnsi="Helvetica Neue"/>
          <w:color w:val="333333"/>
        </w:rPr>
        <w:t>广域网，灵活的能源调度与自治管理都需要智能化的分析预测技术作为支撑，更具体而言，这种分析可以分为短期、中期和长期三阶段，同时可以充分考虑天气、人口分布、能源形态与分布等多因素，从而为能源的生产、配置与消费等决策环节提供技术上的支持。</w:t>
      </w:r>
    </w:p>
    <w:p w14:paraId="215CAD95" w14:textId="16A47286" w:rsidR="00E658FC" w:rsidRDefault="00E658FC" w:rsidP="00E658FC">
      <w:pPr>
        <w:pStyle w:val="md-end-block"/>
        <w:spacing w:before="192" w:beforeAutospacing="0" w:after="192" w:afterAutospacing="0"/>
        <w:rPr>
          <w:rFonts w:ascii="Helvetica Neue" w:hAnsi="Helvetica Neue" w:hint="eastAsia"/>
          <w:color w:val="333333"/>
        </w:rPr>
      </w:pPr>
      <w:r w:rsidRPr="00E658FC">
        <w:rPr>
          <w:rFonts w:ascii="Helvetica Neue" w:hAnsi="Helvetica Neue"/>
          <w:color w:val="333333"/>
        </w:rPr>
        <w:lastRenderedPageBreak/>
        <w:drawing>
          <wp:inline distT="0" distB="0" distL="0" distR="0" wp14:anchorId="3DCA3886" wp14:editId="11E74F37">
            <wp:extent cx="5327967" cy="3550882"/>
            <wp:effectExtent l="0" t="0" r="6350" b="0"/>
            <wp:docPr id="2050" name="Picture 2" descr="查看源图像">
              <a:extLst xmlns:a="http://schemas.openxmlformats.org/drawingml/2006/main">
                <a:ext uri="{FF2B5EF4-FFF2-40B4-BE49-F238E27FC236}">
                  <a16:creationId xmlns:a16="http://schemas.microsoft.com/office/drawing/2014/main" id="{88836881-706C-4D76-ABC7-9BEB77CA4B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查看源图像">
                      <a:extLst>
                        <a:ext uri="{FF2B5EF4-FFF2-40B4-BE49-F238E27FC236}">
                          <a16:creationId xmlns:a16="http://schemas.microsoft.com/office/drawing/2014/main" id="{88836881-706C-4D76-ABC7-9BEB77CA4B3F}"/>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27967" cy="355088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816F9EB" w14:textId="77777777" w:rsidR="00E658FC" w:rsidRDefault="00E658FC" w:rsidP="00E658FC">
      <w:pPr>
        <w:pStyle w:val="md-end-block"/>
        <w:spacing w:before="192" w:beforeAutospacing="0" w:after="192" w:afterAutospacing="0"/>
        <w:rPr>
          <w:rFonts w:ascii="Helvetica Neue" w:hAnsi="Helvetica Neue"/>
          <w:color w:val="333333"/>
        </w:rPr>
      </w:pPr>
      <w:r>
        <w:rPr>
          <w:rStyle w:val="md-plain"/>
          <w:rFonts w:ascii="Helvetica Neue" w:hAnsi="Helvetica Neue"/>
          <w:color w:val="333333"/>
        </w:rPr>
        <w:t>以上就是这一部分的介绍。</w:t>
      </w:r>
      <w:r>
        <w:rPr>
          <w:rStyle w:val="md-plain"/>
          <w:rFonts w:ascii="Helvetica Neue" w:hAnsi="Helvetica Neue"/>
          <w:color w:val="333333"/>
        </w:rPr>
        <w:t xml:space="preserve"> </w:t>
      </w:r>
    </w:p>
    <w:bookmarkEnd w:id="0"/>
    <w:bookmarkEnd w:id="2"/>
    <w:bookmarkEnd w:id="3"/>
    <w:bookmarkEnd w:id="4"/>
    <w:p w14:paraId="3697AF6B" w14:textId="3F942A8E" w:rsidR="00955CFC" w:rsidRDefault="00955CFC">
      <w:pPr>
        <w:pStyle w:val="ImageCaption"/>
        <w:rPr>
          <w:lang w:eastAsia="zh-CN"/>
        </w:rPr>
      </w:pPr>
    </w:p>
    <w:sectPr w:rsidR="00955CFC">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FF5B5B" w14:textId="77777777" w:rsidR="00750CCB" w:rsidRDefault="00750CCB">
      <w:pPr>
        <w:spacing w:after="0"/>
      </w:pPr>
      <w:r>
        <w:separator/>
      </w:r>
    </w:p>
  </w:endnote>
  <w:endnote w:type="continuationSeparator" w:id="0">
    <w:p w14:paraId="7837FE06" w14:textId="77777777" w:rsidR="00750CCB" w:rsidRDefault="00750CC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altName w:val="苹方-简"/>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altName w:val="苹方-简"/>
    <w:panose1 w:val="020B0609020204030204"/>
    <w:charset w:val="00"/>
    <w:family w:val="modern"/>
    <w:pitch w:val="fixed"/>
    <w:sig w:usb0="E00006FF" w:usb1="0000FCFF" w:usb2="00000001" w:usb3="00000000" w:csb0="0000019F" w:csb1="00000000"/>
  </w:font>
  <w:font w:name="Helvetica Neue">
    <w:altName w:val="Arial"/>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C19507" w14:textId="77777777" w:rsidR="00750CCB" w:rsidRDefault="00750CCB">
      <w:pPr>
        <w:spacing w:after="0"/>
      </w:pPr>
      <w:r>
        <w:separator/>
      </w:r>
    </w:p>
  </w:footnote>
  <w:footnote w:type="continuationSeparator" w:id="0">
    <w:p w14:paraId="4C93C297" w14:textId="77777777" w:rsidR="00750CCB" w:rsidRDefault="00750CCB">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bordersDoNotSurroundHeader/>
  <w:bordersDoNotSurroundFooter/>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FFDFDFC8"/>
    <w:rsid w:val="00011C8B"/>
    <w:rsid w:val="004E29B3"/>
    <w:rsid w:val="00590D07"/>
    <w:rsid w:val="00750CCB"/>
    <w:rsid w:val="00784D58"/>
    <w:rsid w:val="008D6863"/>
    <w:rsid w:val="00955CFC"/>
    <w:rsid w:val="00B86B75"/>
    <w:rsid w:val="00BC48D5"/>
    <w:rsid w:val="00C36279"/>
    <w:rsid w:val="00E315A3"/>
    <w:rsid w:val="00E658FC"/>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8A9333"/>
  <w15:docId w15:val="{1EB6023D-66A6-4E59-A03E-CEB50D50F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footnote text" w:uiPriority="9" w:unhideWhenUsed="1" w:qFormat="1"/>
    <w:lsdException w:name="caption" w:qFormat="1"/>
    <w:lsdException w:name="footnote reference" w:qFormat="1"/>
    <w:lsdException w:name="Title" w:qFormat="1"/>
    <w:lsdException w:name="Default Paragraph Font" w:semiHidden="1" w:unhideWhenUsed="1" w:qFormat="1"/>
    <w:lsdException w:name="Body Text" w:qFormat="1"/>
    <w:lsdException w:name="Subtitle" w:qFormat="1"/>
    <w:lsdException w:name="Date" w:qFormat="1"/>
    <w:lsdException w:name="Block Text" w:uiPriority="9" w:unhideWhenUsed="1" w:qFormat="1"/>
    <w:lsdException w:name="Hyperlink"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spacing w:after="200"/>
    </w:pPr>
    <w:rPr>
      <w:rFonts w:eastAsiaTheme="minorHAnsi"/>
      <w:sz w:val="24"/>
      <w:szCs w:val="24"/>
      <w:lang w:eastAsia="en-US"/>
    </w:rPr>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styleId="a5">
    <w:name w:val="caption"/>
    <w:basedOn w:val="a"/>
    <w:next w:val="a"/>
    <w:qFormat/>
    <w:pPr>
      <w:spacing w:after="120"/>
    </w:pPr>
    <w:rPr>
      <w:i/>
    </w:rPr>
  </w:style>
  <w:style w:type="paragraph" w:styleId="a6">
    <w:name w:val="Block Text"/>
    <w:basedOn w:val="a0"/>
    <w:next w:val="a0"/>
    <w:uiPriority w:val="9"/>
    <w:unhideWhenUsed/>
    <w:qFormat/>
    <w:pPr>
      <w:spacing w:before="100" w:after="100"/>
      <w:ind w:left="480" w:right="480"/>
    </w:pPr>
  </w:style>
  <w:style w:type="paragraph" w:styleId="a7">
    <w:name w:val="Date"/>
    <w:next w:val="a0"/>
    <w:qFormat/>
    <w:pPr>
      <w:keepNext/>
      <w:keepLines/>
      <w:spacing w:after="200"/>
      <w:jc w:val="center"/>
    </w:pPr>
    <w:rPr>
      <w:rFonts w:eastAsiaTheme="minorHAnsi"/>
      <w:sz w:val="24"/>
      <w:szCs w:val="24"/>
      <w:lang w:eastAsia="en-US"/>
    </w:rPr>
  </w:style>
  <w:style w:type="paragraph" w:styleId="a8">
    <w:name w:val="Subtitle"/>
    <w:basedOn w:val="a9"/>
    <w:next w:val="a0"/>
    <w:qFormat/>
    <w:pPr>
      <w:spacing w:before="240"/>
    </w:pPr>
    <w:rPr>
      <w:sz w:val="30"/>
      <w:szCs w:val="30"/>
    </w:rPr>
  </w:style>
  <w:style w:type="paragraph" w:styleId="a9">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a">
    <w:name w:val="footnote text"/>
    <w:basedOn w:val="a"/>
    <w:uiPriority w:val="9"/>
    <w:unhideWhenUsed/>
    <w:qFormat/>
  </w:style>
  <w:style w:type="character" w:styleId="ab">
    <w:name w:val="Hyperlink"/>
    <w:basedOn w:val="a4"/>
    <w:qFormat/>
    <w:rPr>
      <w:color w:val="4F81BD" w:themeColor="accent1"/>
    </w:rPr>
  </w:style>
  <w:style w:type="character" w:customStyle="1" w:styleId="a4">
    <w:name w:val="正文文本 字符"/>
    <w:basedOn w:val="a1"/>
    <w:link w:val="a0"/>
    <w:qFormat/>
  </w:style>
  <w:style w:type="character" w:styleId="ac">
    <w:name w:val="footnote reference"/>
    <w:basedOn w:val="a4"/>
    <w:qFormat/>
    <w:rPr>
      <w:vertAlign w:val="superscript"/>
    </w:r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customStyle="1" w:styleId="Author">
    <w:name w:val="Author"/>
    <w:next w:val="a0"/>
    <w:qFormat/>
    <w:pPr>
      <w:keepNext/>
      <w:keepLines/>
      <w:spacing w:after="200"/>
      <w:jc w:val="center"/>
    </w:pPr>
    <w:rPr>
      <w:rFonts w:eastAsiaTheme="minorHAnsi"/>
      <w:sz w:val="24"/>
      <w:szCs w:val="24"/>
      <w:lang w:eastAsia="en-US"/>
    </w:rPr>
  </w:style>
  <w:style w:type="paragraph" w:customStyle="1" w:styleId="Abstract">
    <w:name w:val="Abstract"/>
    <w:basedOn w:val="a"/>
    <w:next w:val="a0"/>
    <w:qFormat/>
    <w:pPr>
      <w:keepNext/>
      <w:keepLines/>
      <w:spacing w:before="300" w:after="300"/>
    </w:pPr>
    <w:rPr>
      <w:sz w:val="20"/>
      <w:szCs w:val="20"/>
    </w:rPr>
  </w:style>
  <w:style w:type="paragraph" w:customStyle="1" w:styleId="10">
    <w:name w:val="书目1"/>
    <w:basedOn w:val="a"/>
    <w:qFormat/>
  </w:style>
  <w:style w:type="table" w:customStyle="1" w:styleId="Table">
    <w:name w:val="Table"/>
    <w:semiHidden/>
    <w:unhideWhenUsed/>
    <w:qFormat/>
    <w:tblPr>
      <w:tblCellMar>
        <w:top w:w="0" w:type="dxa"/>
        <w:left w:w="108" w:type="dxa"/>
        <w:bottom w:w="0" w:type="dxa"/>
        <w:right w:w="108" w:type="dxa"/>
      </w:tblCellMar>
    </w:tblPr>
    <w:tblStylePr w:type="firstRow">
      <w:tblPr/>
      <w:tcPr>
        <w:tcBorders>
          <w:bottom w:val="single" w:sz="0" w:space="0" w:color="auto"/>
        </w:tcBorders>
        <w:vAlign w:val="bottom"/>
      </w:tcPr>
    </w:tblStylePr>
  </w:style>
  <w:style w:type="paragraph" w:customStyle="1" w:styleId="DefinitionTerm">
    <w:name w:val="Definition Term"/>
    <w:basedOn w:val="a"/>
    <w:next w:val="Definition"/>
    <w:qFormat/>
    <w:pPr>
      <w:keepNext/>
      <w:keepLines/>
      <w:spacing w:after="0"/>
    </w:pPr>
    <w:rPr>
      <w:b/>
    </w:rPr>
  </w:style>
  <w:style w:type="paragraph" w:customStyle="1" w:styleId="Definition">
    <w:name w:val="Definition"/>
    <w:basedOn w:val="a"/>
    <w:qFormat/>
  </w:style>
  <w:style w:type="paragraph" w:customStyle="1" w:styleId="TableCaption">
    <w:name w:val="Table Caption"/>
    <w:basedOn w:val="a5"/>
    <w:qFormat/>
    <w:pPr>
      <w:keepNext/>
    </w:pPr>
  </w:style>
  <w:style w:type="paragraph" w:customStyle="1" w:styleId="ImageCaption">
    <w:name w:val="Image Caption"/>
    <w:basedOn w:val="a5"/>
    <w:qFormat/>
  </w:style>
  <w:style w:type="paragraph" w:customStyle="1" w:styleId="Figure">
    <w:name w:val="Figure"/>
    <w:basedOn w:val="a"/>
    <w:qFormat/>
  </w:style>
  <w:style w:type="paragraph" w:customStyle="1" w:styleId="CaptionedFigure">
    <w:name w:val="Captioned Figure"/>
    <w:basedOn w:val="Figure"/>
    <w:qFormat/>
    <w:pPr>
      <w:keepNext/>
    </w:pPr>
  </w:style>
  <w:style w:type="character" w:customStyle="1" w:styleId="VerbatimChar">
    <w:name w:val="Verbatim Char"/>
    <w:basedOn w:val="a4"/>
    <w:link w:val="SourceCode"/>
    <w:qFormat/>
    <w:rPr>
      <w:rFonts w:ascii="Consolas" w:hAnsi="Consolas"/>
      <w:sz w:val="22"/>
    </w:rPr>
  </w:style>
  <w:style w:type="paragraph" w:customStyle="1" w:styleId="SourceCode">
    <w:name w:val="Source Code"/>
    <w:basedOn w:val="a"/>
    <w:link w:val="VerbatimChar"/>
    <w:qFormat/>
    <w:pPr>
      <w:wordWrap w:val="0"/>
    </w:pPr>
  </w:style>
  <w:style w:type="character" w:customStyle="1" w:styleId="SectionNumber">
    <w:name w:val="Section Number"/>
    <w:basedOn w:val="a4"/>
    <w:qFormat/>
  </w:style>
  <w:style w:type="paragraph" w:customStyle="1" w:styleId="TOC1">
    <w:name w:val="TOC 标题1"/>
    <w:basedOn w:val="1"/>
    <w:next w:val="a0"/>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qFormat/>
    <w:rPr>
      <w:rFonts w:ascii="Consolas" w:hAnsi="Consolas"/>
      <w:b/>
      <w:color w:val="007020"/>
      <w:sz w:val="22"/>
    </w:rPr>
  </w:style>
  <w:style w:type="character" w:customStyle="1" w:styleId="DataTypeTok">
    <w:name w:val="DataTypeTok"/>
    <w:basedOn w:val="VerbatimChar"/>
    <w:qFormat/>
    <w:rPr>
      <w:rFonts w:ascii="Consolas" w:hAnsi="Consolas"/>
      <w:color w:val="902000"/>
      <w:sz w:val="22"/>
    </w:rPr>
  </w:style>
  <w:style w:type="character" w:customStyle="1" w:styleId="DecValTok">
    <w:name w:val="DecValTok"/>
    <w:basedOn w:val="VerbatimChar"/>
    <w:qFormat/>
    <w:rPr>
      <w:rFonts w:ascii="Consolas" w:hAnsi="Consolas"/>
      <w:color w:val="40A070"/>
      <w:sz w:val="22"/>
    </w:rPr>
  </w:style>
  <w:style w:type="character" w:customStyle="1" w:styleId="BaseNTok">
    <w:name w:val="BaseNTok"/>
    <w:basedOn w:val="VerbatimChar"/>
    <w:qFormat/>
    <w:rPr>
      <w:rFonts w:ascii="Consolas" w:hAnsi="Consolas"/>
      <w:color w:val="40A070"/>
      <w:sz w:val="22"/>
    </w:rPr>
  </w:style>
  <w:style w:type="character" w:customStyle="1" w:styleId="FloatTok">
    <w:name w:val="FloatTok"/>
    <w:basedOn w:val="VerbatimChar"/>
    <w:qFormat/>
    <w:rPr>
      <w:rFonts w:ascii="Consolas" w:hAnsi="Consolas"/>
      <w:color w:val="40A070"/>
      <w:sz w:val="22"/>
    </w:rPr>
  </w:style>
  <w:style w:type="character" w:customStyle="1" w:styleId="ConstantTok">
    <w:name w:val="ConstantTok"/>
    <w:basedOn w:val="VerbatimChar"/>
    <w:qFormat/>
    <w:rPr>
      <w:rFonts w:ascii="Consolas" w:hAnsi="Consolas"/>
      <w:color w:val="880000"/>
      <w:sz w:val="22"/>
    </w:rPr>
  </w:style>
  <w:style w:type="character" w:customStyle="1" w:styleId="CharTok">
    <w:name w:val="CharTok"/>
    <w:basedOn w:val="VerbatimChar"/>
    <w:qFormat/>
    <w:rPr>
      <w:rFonts w:ascii="Consolas" w:hAnsi="Consolas"/>
      <w:color w:val="4070A0"/>
      <w:sz w:val="22"/>
    </w:rPr>
  </w:style>
  <w:style w:type="character" w:customStyle="1" w:styleId="SpecialCharTok">
    <w:name w:val="SpecialCharTok"/>
    <w:basedOn w:val="VerbatimChar"/>
    <w:qFormat/>
    <w:rPr>
      <w:rFonts w:ascii="Consolas" w:hAnsi="Consolas"/>
      <w:color w:val="4070A0"/>
      <w:sz w:val="22"/>
    </w:rPr>
  </w:style>
  <w:style w:type="character" w:customStyle="1" w:styleId="StringTok">
    <w:name w:val="StringTok"/>
    <w:basedOn w:val="VerbatimChar"/>
    <w:qFormat/>
    <w:rPr>
      <w:rFonts w:ascii="Consolas" w:hAnsi="Consolas"/>
      <w:color w:val="4070A0"/>
      <w:sz w:val="22"/>
    </w:rPr>
  </w:style>
  <w:style w:type="character" w:customStyle="1" w:styleId="VerbatimStringTok">
    <w:name w:val="VerbatimStringTok"/>
    <w:basedOn w:val="VerbatimChar"/>
    <w:qFormat/>
    <w:rPr>
      <w:rFonts w:ascii="Consolas" w:hAnsi="Consolas"/>
      <w:color w:val="4070A0"/>
      <w:sz w:val="22"/>
    </w:rPr>
  </w:style>
  <w:style w:type="character" w:customStyle="1" w:styleId="SpecialStringTok">
    <w:name w:val="SpecialStringTok"/>
    <w:basedOn w:val="VerbatimChar"/>
    <w:qFormat/>
    <w:rPr>
      <w:rFonts w:ascii="Consolas" w:hAnsi="Consolas"/>
      <w:color w:val="BB6688"/>
      <w:sz w:val="22"/>
    </w:rPr>
  </w:style>
  <w:style w:type="character" w:customStyle="1" w:styleId="ImportTok">
    <w:name w:val="ImportTok"/>
    <w:basedOn w:val="VerbatimChar"/>
    <w:qFormat/>
    <w:rPr>
      <w:rFonts w:ascii="Consolas" w:hAnsi="Consolas"/>
      <w:sz w:val="22"/>
    </w:rPr>
  </w:style>
  <w:style w:type="character" w:customStyle="1" w:styleId="CommentTok">
    <w:name w:val="CommentTok"/>
    <w:basedOn w:val="VerbatimChar"/>
    <w:qFormat/>
    <w:rPr>
      <w:rFonts w:ascii="Consolas" w:hAnsi="Consolas"/>
      <w:i/>
      <w:color w:val="60A0B0"/>
      <w:sz w:val="22"/>
    </w:rPr>
  </w:style>
  <w:style w:type="character" w:customStyle="1" w:styleId="DocumentationTok">
    <w:name w:val="DocumentationTok"/>
    <w:basedOn w:val="VerbatimChar"/>
    <w:qFormat/>
    <w:rPr>
      <w:rFonts w:ascii="Consolas" w:hAnsi="Consolas"/>
      <w:i/>
      <w:color w:val="BA2121"/>
      <w:sz w:val="22"/>
    </w:rPr>
  </w:style>
  <w:style w:type="character" w:customStyle="1" w:styleId="AnnotationTok">
    <w:name w:val="AnnotationTok"/>
    <w:basedOn w:val="VerbatimChar"/>
    <w:qFormat/>
    <w:rPr>
      <w:rFonts w:ascii="Consolas" w:hAnsi="Consolas"/>
      <w:b/>
      <w:i/>
      <w:color w:val="60A0B0"/>
      <w:sz w:val="22"/>
    </w:rPr>
  </w:style>
  <w:style w:type="character" w:customStyle="1" w:styleId="CommentVarTok">
    <w:name w:val="CommentVarTok"/>
    <w:basedOn w:val="VerbatimChar"/>
    <w:qFormat/>
    <w:rPr>
      <w:rFonts w:ascii="Consolas" w:hAnsi="Consolas"/>
      <w:b/>
      <w:i/>
      <w:color w:val="60A0B0"/>
      <w:sz w:val="22"/>
    </w:rPr>
  </w:style>
  <w:style w:type="character" w:customStyle="1" w:styleId="OtherTok">
    <w:name w:val="OtherTok"/>
    <w:basedOn w:val="VerbatimChar"/>
    <w:qFormat/>
    <w:rPr>
      <w:rFonts w:ascii="Consolas" w:hAnsi="Consolas"/>
      <w:color w:val="007020"/>
      <w:sz w:val="22"/>
    </w:rPr>
  </w:style>
  <w:style w:type="character" w:customStyle="1" w:styleId="FunctionTok">
    <w:name w:val="FunctionTok"/>
    <w:basedOn w:val="VerbatimChar"/>
    <w:qFormat/>
    <w:rPr>
      <w:rFonts w:ascii="Consolas" w:hAnsi="Consolas"/>
      <w:color w:val="06287E"/>
      <w:sz w:val="22"/>
    </w:rPr>
  </w:style>
  <w:style w:type="character" w:customStyle="1" w:styleId="VariableTok">
    <w:name w:val="VariableTok"/>
    <w:basedOn w:val="VerbatimChar"/>
    <w:qFormat/>
    <w:rPr>
      <w:rFonts w:ascii="Consolas" w:hAnsi="Consolas"/>
      <w:color w:val="19177C"/>
      <w:sz w:val="22"/>
    </w:rPr>
  </w:style>
  <w:style w:type="character" w:customStyle="1" w:styleId="ControlFlowTok">
    <w:name w:val="ControlFlowTok"/>
    <w:basedOn w:val="VerbatimChar"/>
    <w:qFormat/>
    <w:rPr>
      <w:rFonts w:ascii="Consolas" w:hAnsi="Consolas"/>
      <w:b/>
      <w:color w:val="007020"/>
      <w:sz w:val="22"/>
    </w:rPr>
  </w:style>
  <w:style w:type="character" w:customStyle="1" w:styleId="OperatorTok">
    <w:name w:val="OperatorTok"/>
    <w:basedOn w:val="VerbatimChar"/>
    <w:qFormat/>
    <w:rPr>
      <w:rFonts w:ascii="Consolas" w:hAnsi="Consolas"/>
      <w:color w:val="666666"/>
      <w:sz w:val="22"/>
    </w:rPr>
  </w:style>
  <w:style w:type="character" w:customStyle="1" w:styleId="BuiltInTok">
    <w:name w:val="BuiltInTok"/>
    <w:basedOn w:val="VerbatimChar"/>
    <w:qFormat/>
    <w:rPr>
      <w:rFonts w:ascii="Consolas" w:hAnsi="Consolas"/>
      <w:sz w:val="22"/>
    </w:rPr>
  </w:style>
  <w:style w:type="character" w:customStyle="1" w:styleId="ExtensionTok">
    <w:name w:val="ExtensionTok"/>
    <w:basedOn w:val="VerbatimChar"/>
    <w:qFormat/>
    <w:rPr>
      <w:rFonts w:ascii="Consolas" w:hAnsi="Consolas"/>
      <w:sz w:val="22"/>
    </w:rPr>
  </w:style>
  <w:style w:type="character" w:customStyle="1" w:styleId="PreprocessorTok">
    <w:name w:val="PreprocessorTok"/>
    <w:basedOn w:val="VerbatimChar"/>
    <w:qFormat/>
    <w:rPr>
      <w:rFonts w:ascii="Consolas" w:hAnsi="Consolas"/>
      <w:color w:val="BC7A00"/>
      <w:sz w:val="22"/>
    </w:rPr>
  </w:style>
  <w:style w:type="character" w:customStyle="1" w:styleId="AttributeTok">
    <w:name w:val="AttributeTok"/>
    <w:basedOn w:val="VerbatimChar"/>
    <w:qFormat/>
    <w:rPr>
      <w:rFonts w:ascii="Consolas" w:hAnsi="Consolas"/>
      <w:color w:val="7D9029"/>
      <w:sz w:val="22"/>
    </w:rPr>
  </w:style>
  <w:style w:type="character" w:customStyle="1" w:styleId="RegionMarkerTok">
    <w:name w:val="RegionMarkerTok"/>
    <w:basedOn w:val="VerbatimChar"/>
    <w:qFormat/>
    <w:rPr>
      <w:rFonts w:ascii="Consolas" w:hAnsi="Consolas"/>
      <w:sz w:val="22"/>
    </w:rPr>
  </w:style>
  <w:style w:type="character" w:customStyle="1" w:styleId="InformationTok">
    <w:name w:val="InformationTok"/>
    <w:basedOn w:val="VerbatimChar"/>
    <w:qFormat/>
    <w:rPr>
      <w:rFonts w:ascii="Consolas" w:hAnsi="Consolas"/>
      <w:b/>
      <w:i/>
      <w:color w:val="60A0B0"/>
      <w:sz w:val="22"/>
    </w:rPr>
  </w:style>
  <w:style w:type="character" w:customStyle="1" w:styleId="WarningTok">
    <w:name w:val="WarningTok"/>
    <w:basedOn w:val="VerbatimChar"/>
    <w:qFormat/>
    <w:rPr>
      <w:rFonts w:ascii="Consolas" w:hAnsi="Consolas"/>
      <w:b/>
      <w:i/>
      <w:color w:val="60A0B0"/>
      <w:sz w:val="22"/>
    </w:rPr>
  </w:style>
  <w:style w:type="character" w:customStyle="1" w:styleId="AlertTok">
    <w:name w:val="AlertTok"/>
    <w:basedOn w:val="VerbatimChar"/>
    <w:qFormat/>
    <w:rPr>
      <w:rFonts w:ascii="Consolas" w:hAnsi="Consolas"/>
      <w:b/>
      <w:color w:val="FF0000"/>
      <w:sz w:val="22"/>
    </w:rPr>
  </w:style>
  <w:style w:type="character" w:customStyle="1" w:styleId="ErrorTok">
    <w:name w:val="ErrorTok"/>
    <w:basedOn w:val="VerbatimChar"/>
    <w:qFormat/>
    <w:rPr>
      <w:rFonts w:ascii="Consolas" w:hAnsi="Consolas"/>
      <w:b/>
      <w:color w:val="FF0000"/>
      <w:sz w:val="22"/>
    </w:rPr>
  </w:style>
  <w:style w:type="character" w:customStyle="1" w:styleId="NormalTok">
    <w:name w:val="NormalTok"/>
    <w:basedOn w:val="VerbatimChar"/>
    <w:qFormat/>
    <w:rPr>
      <w:rFonts w:ascii="Consolas" w:hAnsi="Consolas"/>
      <w:sz w:val="22"/>
    </w:rPr>
  </w:style>
  <w:style w:type="paragraph" w:styleId="ad">
    <w:name w:val="header"/>
    <w:basedOn w:val="a"/>
    <w:link w:val="ae"/>
    <w:rsid w:val="00E658FC"/>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1"/>
    <w:link w:val="ad"/>
    <w:rsid w:val="00E658FC"/>
    <w:rPr>
      <w:rFonts w:eastAsiaTheme="minorHAnsi"/>
      <w:sz w:val="18"/>
      <w:szCs w:val="18"/>
      <w:lang w:eastAsia="en-US"/>
    </w:rPr>
  </w:style>
  <w:style w:type="paragraph" w:styleId="af">
    <w:name w:val="footer"/>
    <w:basedOn w:val="a"/>
    <w:link w:val="af0"/>
    <w:rsid w:val="00E658FC"/>
    <w:pPr>
      <w:tabs>
        <w:tab w:val="center" w:pos="4153"/>
        <w:tab w:val="right" w:pos="8306"/>
      </w:tabs>
      <w:snapToGrid w:val="0"/>
    </w:pPr>
    <w:rPr>
      <w:sz w:val="18"/>
      <w:szCs w:val="18"/>
    </w:rPr>
  </w:style>
  <w:style w:type="character" w:customStyle="1" w:styleId="af0">
    <w:name w:val="页脚 字符"/>
    <w:basedOn w:val="a1"/>
    <w:link w:val="af"/>
    <w:rsid w:val="00E658FC"/>
    <w:rPr>
      <w:rFonts w:eastAsiaTheme="minorHAnsi"/>
      <w:sz w:val="18"/>
      <w:szCs w:val="18"/>
      <w:lang w:eastAsia="en-US"/>
    </w:rPr>
  </w:style>
  <w:style w:type="paragraph" w:customStyle="1" w:styleId="md-end-block">
    <w:name w:val="md-end-block"/>
    <w:basedOn w:val="a"/>
    <w:rsid w:val="00E658FC"/>
    <w:pPr>
      <w:spacing w:before="100" w:beforeAutospacing="1" w:after="100" w:afterAutospacing="1"/>
    </w:pPr>
    <w:rPr>
      <w:rFonts w:ascii="宋体" w:eastAsia="宋体" w:hAnsi="宋体" w:cs="宋体"/>
      <w:lang w:eastAsia="zh-CN"/>
    </w:rPr>
  </w:style>
  <w:style w:type="character" w:customStyle="1" w:styleId="md-plain">
    <w:name w:val="md-plain"/>
    <w:basedOn w:val="a1"/>
    <w:rsid w:val="00E658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21059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7</Pages>
  <Words>346</Words>
  <Characters>1974</Characters>
  <Application>Microsoft Office Word</Application>
  <DocSecurity>0</DocSecurity>
  <Lines>16</Lines>
  <Paragraphs>4</Paragraphs>
  <ScaleCrop>false</ScaleCrop>
  <Company/>
  <LinksUpToDate>false</LinksUpToDate>
  <CharactersWithSpaces>2316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dreizhen</dc:creator>
  <cp:lastModifiedBy>Von Einzbern Camelia</cp:lastModifiedBy>
  <cp:revision>2</cp:revision>
  <dcterms:created xsi:type="dcterms:W3CDTF">2022-12-25T12:02:00Z</dcterms:created>
  <dcterms:modified xsi:type="dcterms:W3CDTF">2022-12-25T12:02:00Z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2052-4.6.1.7467</vt:lpwstr>
  </property>
  <property fmtid="{D5CDD505-2E9C-101B-9397-08002B2CF9AE}" pid="3" name="ICV">
    <vt:lpwstr>7502D6B1B33B408642C5A7632032FC0C</vt:lpwstr>
  </property>
</Properties>
</file>