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rFonts w:ascii="Georgia" w:hAnsi="Georgia"/>
          <w:b/>
          <w:color w:val="162B4D"/>
          <w:sz w:val="34"/>
        </w:rPr>
        <w:t>PROPERTY MANAGEMENT AGREEMENT FOR CONDOS &amp; COOPERATIVES</w:t>
      </w:r>
    </w:p>
    <w:p>
      <w:pPr>
        <w:spacing w:after="320"/>
        <w:jc w:val="center"/>
        <w:shd w:val="clear" w:color="auto" w:fill="F2E8C9"/>
      </w:pPr>
      <w:r>
        <w:rPr>
          <w:i/>
          <w:color w:val="162B4D"/>
          <w:sz w:val="18"/>
        </w:rPr>
        <w:t>TEMPLATE — replace every bracketed [ ] field before circulating or executing. This document is for Camelot internal use in preparing client-specific condominium/cooperative management agreements.</w:t>
      </w:r>
    </w:p>
    <w:p>
      <w:pPr>
        <w:spacing w:after="160"/>
        <w:jc w:val="both"/>
      </w:pPr>
      <w:r>
        <w:t>THIS AGREEMENT (the “Agreement”), made as of the [DAY] day of [MONTH], [YEAR] (the “Effective Date”), by and between [CLIENT ENTITY NAME], a New York [Corporation/LLC], having an office at [CLIENT OFFICE ADDRESS] (the “Client”), and CAMELOT PROPERTY MANAGEMENT SERVICES CORP., a New York corporation, having its principal office at 343 Canal Street, 2nd Fl, New York, NY 10013 (the “Agent,” and together with the Client, hereinafter referred to as the “Parties,” and each a “Party”), with respect to the condominium/cooperative units within the Building located at [PROPERTY ADDRESS] (the “Property”).</w:t>
      </w:r>
    </w:p>
    <w:p>
      <w:pPr>
        <w:spacing w:after="160"/>
        <w:jc w:val="both"/>
      </w:pPr>
      <w:r>
        <w:t>An index of Defined Terms used in this Agreement is attached hereto as Exhibit A.</w:t>
      </w:r>
    </w:p>
    <w:p>
      <w:pPr>
        <w:spacing w:before="160" w:after="160"/>
        <w:jc w:val="center"/>
      </w:pPr>
      <w:r>
        <w:rPr>
          <w:b/>
        </w:rPr>
        <w:t>W I T N E S SE T H:</w:t>
      </w:r>
    </w:p>
    <w:p>
      <w:pPr>
        <w:spacing w:after="160"/>
        <w:jc w:val="both"/>
      </w:pPr>
      <w:r>
        <w:t>The Parties hereto mutually agree with each other as follows:</w:t>
      </w:r>
    </w:p>
    <w:p>
      <w:pPr>
        <w:spacing w:before="280" w:after="120"/>
        <w:pBdr>
          <w:bottom w:val="single" w:sz="4" w:space="4" w:color="C9A227"/>
        </w:pBdr>
      </w:pPr>
      <w:r>
        <w:rPr>
          <w:rFonts w:ascii="Georgia" w:hAnsi="Georgia"/>
          <w:b/>
          <w:color w:val="162B4D"/>
          <w:sz w:val="26"/>
        </w:rPr>
        <w:t>Term and Termination</w:t>
      </w:r>
    </w:p>
    <w:p>
      <w:pPr>
        <w:spacing w:after="160"/>
        <w:jc w:val="both"/>
      </w:pPr>
      <w:r>
        <w:t>The initial term of this Agreement shall commence on the Effective Date and expire on the One Year anniversary of the Effective Date (the “Initial Period”).</w:t>
      </w:r>
    </w:p>
    <w:p>
      <w:pPr>
        <w:spacing w:after="160"/>
        <w:jc w:val="both"/>
      </w:pPr>
      <w:r>
        <w:t>Upon the conclusion of the Initial Period, this Agreement will automatically renew for subsequent thirty-six (36) month periods (each a “Renewal Period,” the Initial Period and the Renewal Periods together hereinafter referred to as the “Term”), unless terminated pursuant to the terms hereof.</w:t>
      </w:r>
    </w:p>
    <w:p>
      <w:pPr>
        <w:spacing w:after="160"/>
        <w:jc w:val="both"/>
      </w:pPr>
      <w:r>
        <w:t>Either Party may terminate this Agreement upon not less than (i) ninety (90) days’ notice during the Initial Period, or, (ii) sixty (60) days’ notice during any Renewal Period.</w:t>
      </w:r>
    </w:p>
    <w:p>
      <w:pPr>
        <w:spacing w:after="160"/>
        <w:jc w:val="both"/>
      </w:pPr>
      <w:r>
        <w:t>Either Party may terminate this Agreement immediately in the event that: (a) the other Party is enjoined, disabled, suspended, prohibited, or otherwise becomes unable to perform any part of its obligations arising hereunder by operation of law or as a result of any administrative or judicial proceeding or action by any regulatory or self-regulatory organization having jurisdiction over such Party or (b) the other Party (i) becomes or is declared insolvent; (ii) voluntarily files or is the subject of, a petition commencing a case under any chapter of Title 11 of the United States Code; (iii) makes a general assignment for the benefit of its creditors; (iv) admits in writing its inability to pay its debts as they mature; (v) files an application or consents to the appointment of, or there is appointed, any receiver, or a permanent or interim trustee of that party or any of its subsidiaries, as the case may be, or all or any portion of its property, including, without limitation, the appointment or authorization of a trustee, receiver or agent under applicable law or under a contract to take charge of its property for the purpose of enforcing a lien against such property or for the purpose of general administration of such property for the benefit of its creditors; (vi) files a petition seeking a reorganization of its financial affairs or to take advantage of any bankruptcy, reorganization, insolvency, readjustment of debt, dissolution or liquidation law or statute or files an answer admitting the material allegations of a petition filed against it in any proceeding under any such law or statute; (vii) takes any corporate action for the purpose of effecting any of the foregoing; (viii) theft or misappropriation of funds; or (ix) the other Party is in material breach of this Agreement and fails to cure that breach within five (5) days of its receipt of a written Notice to Cure from the non-breaching Party.</w:t>
      </w:r>
    </w:p>
    <w:p>
      <w:pPr>
        <w:spacing w:before="280" w:after="120"/>
        <w:pBdr>
          <w:bottom w:val="single" w:sz="4" w:space="4" w:color="C9A227"/>
        </w:pBdr>
      </w:pPr>
      <w:r>
        <w:rPr>
          <w:rFonts w:ascii="Georgia" w:hAnsi="Georgia"/>
          <w:b/>
          <w:color w:val="162B4D"/>
          <w:sz w:val="26"/>
        </w:rPr>
        <w:t>The Basic Services</w:t>
      </w:r>
    </w:p>
    <w:p>
      <w:pPr>
        <w:spacing w:after="160"/>
        <w:jc w:val="both"/>
      </w:pPr>
      <w:r>
        <w:t>From the Effective Date until the date that this Agreement is terminated pursuant to Section 1, Agent shall perform, or cause to be performed, services at the Property necessary to maintain the Property as inhabitable, both in condition and status, as may be deemed reasonably advisable by the Agent or as otherwise requested or advised, from time to time, by the Client (the “Basic Services”). Costs incurred for Basic Services (“Basic Service Costs”) shall be paid for out of the operating account to be established and maintained by the Agent on behalf of the Client (the “Operating Account”), provided, however that Agent agrees not to perform, or cause to be performed, any Basic Service the Basic Service Cost of which would exceed Two Thousand Five Hundred ($2,500) dollars, without the Client’s prior written consent, which consent may be delivered by e-mail, and which consent shall likewise authorize payment of such Basic Service Costs from the Operating Account. Client’s failure to consent, or to decline consent within three (3) calendar days of Agent’s request shall constitute consent under this Agreement. The Basic Services shall include, but not be limited to the following:</w:t>
      </w:r>
    </w:p>
    <w:p>
      <w:pPr>
        <w:spacing w:after="160"/>
        <w:jc w:val="both"/>
      </w:pPr>
      <w:r>
        <w:rPr>
          <w:b/>
        </w:rPr>
        <w:t xml:space="preserve">General Work. </w:t>
      </w:r>
      <w:r>
        <w:t>Agent shall cause the Property to be maintained in such condition as may be deemed advisable by the Client, including maintaining the cleanliness of the interior and exterior of the Property, maintaining operability and efficiency of the Property’s electrical, plumbing, and steam fitting systems, its masonry, elevators and décor, and performing such other tasks as necessary to the continued functionality, operability and efficiency of the Property, subject to the terms of this Agreement, and making any repairs or alterations necessary in connection with the aforementioned obligations subject to the limitations contained in this Agreement or the Client’s governing documents (consisting of the Offering Plan, Proprietary Lease, Bylaws and House Rules, as same may be amended by Client from time to time).</w:t>
      </w:r>
    </w:p>
    <w:p>
      <w:pPr>
        <w:spacing w:after="160"/>
        <w:jc w:val="both"/>
      </w:pPr>
      <w:r>
        <w:rPr>
          <w:b/>
        </w:rPr>
        <w:t xml:space="preserve">Personnel Matters. </w:t>
      </w:r>
      <w:r>
        <w:t>Agent shall (i) cause to be hired, paid, and supervised, all persons necessary to be employed, or otherwise engaged, in order to properly maintain and operate the Property (the “Employees”) and, (ii) from time to time, with the Client’s prior approval, cause such Employees to be discharged. Agent shall perform such duties in conformity with obligations of the Client under any contract between the Client and any union representing the Employees. Upon termination of this Agreement, Agent shall have the right to reappoint Employees to other properties managed by Agent. The Client shall not, for the period beginning on the Effective Date and ending nine (9) months after the termination of this Agreement, solicit, induce or recruit, or cause the soliciting, inducement or recruitment of, or call upon Agent’s employees (whether or not such employees were “Employees” as defined under this Section 2(b)) who are at that time, or were otherwise during the Term, an employee of Agent (whether or not such employees were “Employees”), or cause any of Agent’s employees to terminate his employment or engagement with the Agent, unless, however, (i) such employee of Agent has not been reappointed by Agent within four (4) weeks of the termination of this Agreement, in which case Client may freely hire such Employee of Agent to perform services for Client, or (ii) Client pays to Agent twenty-five percent (25%) of such employee’s annual salary, in one lump sum, upon payment of which Client may hire any such employee as its own employee. Within ten (10) days following the expiration or earlier termination of this Agreement or upon written request by Client, Agent will furnish Client with a list of all of its employees (whether or not such employees were “Employees”) covered by this paragraph 2(b).</w:t>
      </w:r>
    </w:p>
    <w:p>
      <w:pPr>
        <w:spacing w:after="160"/>
        <w:jc w:val="both"/>
      </w:pPr>
      <w:r>
        <w:rPr>
          <w:b/>
        </w:rPr>
        <w:t xml:space="preserve">Inspection Visits. </w:t>
      </w:r>
      <w:r>
        <w:t>Agent shall make such visits to and inspections of the Property as Agent may deem reasonably necessary, but in no instance less than once per month or more than as may be reasonably necessary to properly maintain the Property and supervise the Employees.</w:t>
      </w:r>
    </w:p>
    <w:p>
      <w:pPr>
        <w:spacing w:after="160"/>
        <w:jc w:val="both"/>
      </w:pPr>
      <w:r>
        <w:t>Violations.</w:t>
      </w:r>
    </w:p>
    <w:p>
      <w:pPr>
        <w:spacing w:after="160"/>
        <w:jc w:val="both"/>
      </w:pPr>
      <w:r>
        <w:t>Agent shall recommend and, with the approval of the Client, cause all such acts to be done in or about the Property as shall be necessary or desirable to comply with any and all orders or violations affecting the Property, placed thereon by any federal, state or municipal authority having jurisdiction there over, and orders of the New York Board of Fire Underwriters, the New York Fire Insurance Exchange or other similar body.</w:t>
      </w:r>
    </w:p>
    <w:p>
      <w:pPr>
        <w:spacing w:after="160"/>
        <w:jc w:val="both"/>
      </w:pPr>
      <w:r>
        <w:t>Notwithstanding the foregoing, if failure to promptly comply with any such order or violation would or might, as reasonably determined by the Agent, expose the Client or the Agent to any civil or criminal imprisonment, penalty, fine or forfeiture, or expose persons or property to injury or damage, the Agent may cause such order or violation to be complied with after consulting the president, vice president, treasurer or secretary of the Client (in the order given, if possible), or if such officer shall not be available to the Agent, after consultation with the Client's attorneys, provided, however that if Agent has made reasonable attempt to reach such individuals but failed, by no fault of its own, to do so, then Agent, upon delivery of written notice (which delivery may be by electronic mail) to Client and Client’s attorneys, may proceed with the order or violation compliance as if consent was granted. The remediation or mitigation of such violation shall be considered an “Emergency Service,” subject to the terms AND FEES of this Agreement governing rendering of Emergency Services. In case of Agent’s receipt of any notice of any violation, Agent shall notify Client by telephone (followed by confirming electronic mail) or by electronic mail no later than forty-eight (48) hours after receipt by the Agent in writing of any order or violation.</w:t>
      </w:r>
    </w:p>
    <w:p>
      <w:pPr>
        <w:spacing w:after="160"/>
        <w:jc w:val="both"/>
      </w:pPr>
      <w:r>
        <w:t>Within sixty (60) days of the commencement of this Agreement, Agent, at Client’s expense, shall obtain a search of the records of the local authorities having jurisdiction over the Property for any violations of record at the Property and shall present this report to the Client. Agent shall not be liable to Client for the consequences of any violations contained in such report. Agent, at its expense, may engage an outside service to assist in the compliance with the laws related to distribution of annual safety notices (window guard, fire safety, lead paint, etc.).</w:t>
      </w:r>
    </w:p>
    <w:p>
      <w:pPr>
        <w:spacing w:after="160"/>
        <w:jc w:val="both"/>
      </w:pPr>
      <w:r>
        <w:t>Notwithstanding anything contained in this Agreement to the contrary, Agent acknowledges that it shall not have the authority to provide, and shall not provide, legal advice to the Client, its shareholders, subtenants or occupants regarding the interpretation or application of the laws, Client’s governing documents or rules and regulations.</w:t>
      </w:r>
    </w:p>
    <w:p>
      <w:pPr>
        <w:spacing w:after="160"/>
        <w:jc w:val="both"/>
      </w:pPr>
      <w:r>
        <w:rPr>
          <w:b/>
        </w:rPr>
        <w:t xml:space="preserve">Utilities/Service Contracts. </w:t>
      </w:r>
      <w:r>
        <w:t>Except when otherwise instructed by Client, and in coordination with Client’s attorneys when necessary, Agent shall enter into contracts for electricity, gas, steam, air-conditioning, water treatment, elevator, telephone, window cleaning, rubbish removal, fuel oil, security, vermin extermination, architects’ and engineers’ services required for the operation of and for the planning and supervision of alterations and/or improvements made or proposed to be made to the Property, and other services as advisable (“Service Contracts”). Agent may not enter into any Service Contract for a term greater than one (1) year or requiring annual payments in excess of $3,500.00 without the prior written consent of the Client, which may be delivered by e-mail. Client’s failure to consent, or to decline consent within three (3) calendar days of Agent’s request shall constitute consent under this Agreement. Client may require that Agent obtain from any contractor, vendor or supplier an anti-corruption statement, signed and acknowledging that i) neither contractor, vendor nor supplier will give anything of value to Agent, its directors, officers, principals, agents or employees, or to the employees of Client; and ii) that the contract prices and all invoices presented to Agent or Client will accurately, fairly and fully represent the cost of the work performed or materials supplied without duplication, waste or fraud.</w:t>
      </w:r>
    </w:p>
    <w:p>
      <w:pPr>
        <w:spacing w:after="160"/>
        <w:jc w:val="both"/>
      </w:pPr>
      <w:r>
        <w:rPr>
          <w:b/>
        </w:rPr>
        <w:t xml:space="preserve">Supplies. </w:t>
      </w:r>
      <w:r>
        <w:t>Subject to the monetary restrictions set forth in paragraph 2 (a) hereof, Agent shall source all supplies necessary to properly maintain and operate the Property (the “Supplies”), at a reasonable rate, and of quality acceptable to the Client. All contracts and purchases of supplies shall be made in the name of the Client, and Agent is hereby so authorized. Any credit, refunds, discounts or commissions paid to the Agent in connection with Agent’s purchase of Supplies shall be directed toward or otherwise deposited into the Operating Account.</w:t>
      </w:r>
    </w:p>
    <w:p>
      <w:pPr>
        <w:spacing w:after="160"/>
        <w:jc w:val="both"/>
      </w:pPr>
      <w:r>
        <w:rPr>
          <w:b/>
        </w:rPr>
        <w:t xml:space="preserve">Corporate Expenses &amp; Payments. </w:t>
      </w:r>
      <w:r>
        <w:t>Agent shall review and verify, and upon verification cause to be paid (with Treasurer or other officer’s approval), all bills, union obligations, mortgage and other interest, amortization payments, water charges, sewer rent, assessments, real estate taxes and other expenses ancillary to the operation of the Property as and when the same become due and payable.</w:t>
      </w:r>
    </w:p>
    <w:p>
      <w:pPr>
        <w:spacing w:after="160"/>
        <w:jc w:val="both"/>
      </w:pPr>
      <w:r>
        <w:t>Collection of Rents, Maintenance Fees; Legal Proceedings: Agent shall bill or cause to be billed, shareholders, tenants, sub-tenants, owners and licensees of any Property Units (each a “Unit,” and the shareholders, tenants, sub-tenants, owners or licensees thereof, the “Unit Holders”) for maintenance, additional rents and other charges arising in connection with Unit Holders’ possession, interest in, or title to any Unit(s), and use its best efforts to collect such rents, additional rents and other charges, including by, when so instructed by Client or Client’s attorneys, serving notices upon Unit Holders to quit and surrender subtenant rent to cover any outstanding fees, assessments, and or maintenance owed by the owner or possessor of a Unit; all proceeds from such collection shall be deposited into the Operating Account or such other account as advised by the Client. When directed by Client and upon commercially reasonable notice, Agent shall, on Client’s behalf cooperate with Client’s counsel to (a) institute proceedings in the name of Client to collect rents, additional rents and other charges which may at any time be or become due, as aforesaid, from any tenant, subtenant or licensee in respect of any Units; (b) institute summary proceedings to recover possession from any Unit Holder, and if requested by Client and/or Client’s attorneys employ and pay special counsel, if necessary, for any such purposes; (c) bill or cause to be billed Unit Holders, including commercial Unit Holders, for maintenance, assessments, rent and other charges, including real estate taxes not otherwise directly billed and operating escalations, CPI (Consumer Price Index) increases, water charges, etc. as calculated by Agent’s or Client’s accounting professionals; (d) cooperate with Client’s attorneys to file appropriate liens and serve upon Unit Holders, notices to quit and surrender space occupied by them; and (e) cooperate with Client’s attorneys in all suits, actions and proceedings to collect common charges, rent and other charges which may at any time be or become due to Client from any Unit Holder; and/or, to recover possession of any Unit.</w:t>
      </w:r>
    </w:p>
    <w:p>
      <w:pPr>
        <w:spacing w:after="160"/>
        <w:jc w:val="both"/>
      </w:pPr>
      <w:r>
        <w:rPr>
          <w:b/>
        </w:rPr>
        <w:t xml:space="preserve">Board and Unit Holder Meetings. </w:t>
      </w:r>
      <w:r>
        <w:t>When requested by Client and upon commercially reasonable notice, Agent shall at no additional cost cause a representative of Agent to attend in person meetings of the Board of Managers of the Property (the “Board”) and one (1) annual meeting of the Unit Holders. Whenever attendance by representatives of the Agent is desired at such meetings, it is understood that every reasonable effort will be made on the part of the officers and directors of the Board to schedule such meetings to begin at a sufficiently early hour so that they can be adjourned not later than 9:00 P.M., in view of the fact that these meetings generally take place at the end of a business day, and, Client agrees that in the event any such meeting goes past 9:00 P.M., costs of transportation for Agent’s personnel in attendance at that Meeting will be reimbursed up to fifty dollars ($50), which reimbursement shall be considered Basic Services Costs.</w:t>
      </w:r>
    </w:p>
    <w:p>
      <w:pPr>
        <w:spacing w:after="160"/>
        <w:jc w:val="both"/>
      </w:pPr>
      <w:r>
        <w:t>The Agent shall manage the meetings of the Board of Directors, which will include coordinating with Client’s attorneys to draft and distribute notices to directors, and shareholders of Client, prepare agendas, materials, analysis, project status, recommended course of action for projects, bidding, and building issues, and voting on recommendations. If requested by the Client, Agent shall have a representative act as secretary of such meetings, and record and keep the minutes of such meetings at the cost of twenty-five dollars ($25.00) per hour, which shall be treated as a Basic Service Costs.</w:t>
      </w:r>
    </w:p>
    <w:p>
      <w:pPr>
        <w:spacing w:after="160"/>
        <w:jc w:val="both"/>
      </w:pPr>
      <w:r>
        <w:rPr>
          <w:b/>
        </w:rPr>
        <w:t xml:space="preserve">Storage. </w:t>
      </w:r>
      <w:r>
        <w:t>Agent will arrange and maintain storage of all Property-related documents, at the Client’s expense. If deemed reasonably necessary by Agent, a third-party service will be hired to store and maintain building files at the Client’s expense.</w:t>
      </w:r>
    </w:p>
    <w:p>
      <w:pPr>
        <w:spacing w:after="160"/>
        <w:jc w:val="both"/>
      </w:pPr>
      <w:r>
        <w:rPr>
          <w:b/>
        </w:rPr>
        <w:t xml:space="preserve">Unit Holder Complaints; Letters and Notices. </w:t>
      </w:r>
      <w:r>
        <w:t>Agent shall consider and, when reasonable, attend to complaints of Unit Holders that pertain to the Property. If the Agent deems any such complaint unreasonable, it shall in writing advise Client of Unit Holder’s complaint and the reason such complaint is unreasonable. Agent shall distribute letters and other notices to Unit Holders as and when prepared and instructed by Client.</w:t>
      </w:r>
    </w:p>
    <w:p>
      <w:pPr>
        <w:spacing w:after="160"/>
        <w:jc w:val="both"/>
      </w:pPr>
      <w:r>
        <w:rPr>
          <w:b/>
        </w:rPr>
        <w:t xml:space="preserve">Reports. </w:t>
      </w:r>
      <w:r>
        <w:t>Agent shall, on a monthly basis, prepare and deliver monthly management reports for the preceding month in electronic format to Client and if requested by Client, to Client’s accountant, and, unless otherwise directed, all members of the Client’s Board of Directors, which report shall describe in reasonable detail (i) all Service Costs (as defined below) incurred during the respective calendar month, (ii) the balance of the Operating Account, reconciled to the previous month’s report, and (iii) all accounts payable, the intended recipient and amount of such accounts payable ((i) – (iii) hereinafter referred to as “Reports”). Included with each Report shall be copies of all receipts and disbursements made on Client’s behalf, bank reconciliations and bank statements, arrears, receivables, paid bills and of any vouchers evidencing disbursements made. Reports shall be provided to Client no later than the 20th day of the calendar month following the calendar month for which such Report was prepared.</w:t>
      </w:r>
    </w:p>
    <w:p>
      <w:pPr>
        <w:spacing w:after="160"/>
        <w:jc w:val="both"/>
      </w:pPr>
      <w:r>
        <w:rPr>
          <w:b/>
        </w:rPr>
        <w:t xml:space="preserve">Books and Records. </w:t>
      </w:r>
      <w:r>
        <w:t>Agent shall set up and keep in good order, separate, adequate corporate books of accounts, check books and other records (except as otherwise maintained or reasonably expected to be maintained by the Client’s accountants) material to the operation of the Property (the “Property Records”), including but not limited to, maintenance and common charge records, insurance policies, leases and subleases, if any, correspondence, receipted bills and vouchers, check books, minute books and all other documents and papers pertaining to the Property or the operation thereof, and the same shall be and shall at all times remain the property of the Client, and the Agent shall upon request of the Client make the same available to the Client, the Client's officers, accountants, attorneys or other representatives and shall deliver up the same to the Client or its aforesaid agents on demand from the Client, provided that Agent shall have the right to retain copies of each thereof. Agent shall keep all records and documents pertaining to Client, whether pursuant to this paragraph 2 (m), or any other paragraph of this Agreement, in digital format available at all times to Client and upon termination of Agent’s services, Agent shall deliver all records and documents in digital format along with hard copies maintained by Agent. Agent shall furnish Property Records to third parties as and when advised by Client. Further, Agent shall cause to be prepared all forms, related to the operation of the Property and necessary for (a) processing unemployment insurance, (b) withholding appropriate taxes from employees, (c) managing other Employee matters. Agent shall cooperate with Client’s accountant(s) with regard to the annual audit of the Client’s financial statements (and shall promptly provide all requested records in the Agent’s possession which the Client’s accountant requires to prepare and file on the Client’s behalf all federal, state, local and other required tax returns). When the books of tentative assessed valuation of the City of New York are opened for public inspection in each year, Agent shall ascertain the assessment of the land and building and report such assessment to the Client. Should the Client choose to file an application for correction of assessed valuation, the Agent will, if requested by Client, cooperate reasonably with counsel for the Client in the preparation of an application for correction of the assessed valuation to be filed with the Tax Commission of the City of New York.</w:t>
      </w:r>
    </w:p>
    <w:p>
      <w:pPr>
        <w:spacing w:after="160"/>
        <w:jc w:val="both"/>
      </w:pPr>
      <w:r>
        <w:rPr>
          <w:b/>
        </w:rPr>
        <w:t xml:space="preserve">Emergency Contact; Contact Generally. </w:t>
      </w:r>
      <w:r>
        <w:t>Agent shall maintain a 24-hour answering service for reporting of and prompt response to notice of emergency conditions at the Property. Agent shall promptly after the effective date of this Agreement and thereafter as may be required by law, file an amended building registration statement with the appropriate governmental agency or agencies, designating one of the officers or responsible employees of the Agent as the “Managing Agent” of the Property in accordance with the Multiple Dwelling Law and Housing Maintenance Code and confirm with the appropriate agency the change in registration within 45 days of the execution of this Agreement.</w:t>
      </w:r>
    </w:p>
    <w:p>
      <w:pPr>
        <w:spacing w:after="160"/>
        <w:jc w:val="both"/>
      </w:pPr>
      <w:r>
        <w:t>Client’s Insurance. Agent shall assist and cooperate with the Client’s insurance agent in securing for the Client, at the Client’s expense, insurance policies to cover claims arising in connection with the Property, its employees and Unit Holders, including but not limited to fire, multi-peril, renter’s, plate glass, boiler, water damage, general liability, workers’ compensation, employer’s liability, disability insurance, and other policies as reasonably requested from time to time by the Client. Such insurance policies shall be procured from an insurance broker of good standing, unless otherwise identified by the Client.</w:t>
      </w:r>
    </w:p>
    <w:p>
      <w:pPr>
        <w:spacing w:after="160"/>
        <w:jc w:val="both"/>
      </w:pPr>
      <w:r>
        <w:t>Agent’s Insurance. Agent shall at its sole cost and expense acquire its own liability insurance in amounts no less than $1,000,000 combined single limit; worker’s compensation and employer’s liability insurance covering all employees of Agent; and such other insurance as may be necessary for the protection of the interest of Client and Agent in connection with the performance of the Services (the “Agent Insurance Policies”). In the event Client requests Agent to increase its Agent Insurance Policy coverage amounts above the requisite amounts set forth above, Client agrees that any additional costs incurred by Agent in connection with its compliance with such request shall be considered Basic Services Costs. In each such Agent Insurance Policy, excluding workers’ compensation policy, Agent will name Client as an insured party and will, within five (5) days of the execution of this Agreement and prior to the commencement of each such Agent Insurance Policy coverage period, deliver a copy of such Agent Insurance Policy to Client or a certificate evidencing the same. In addition to the Agent Insurance Policies, Agent shall carry the following insurance policies, the costs of which will NOT be considered Basic Service Costs and will instead be paid for entirely by the Agent:</w:t>
      </w:r>
    </w:p>
    <w:p>
      <w:pPr>
        <w:spacing w:after="160"/>
        <w:jc w:val="both"/>
      </w:pPr>
      <w:r>
        <w:t>Employee dishonesty and defalcation insurance policies in an amount not less than $1,000,000;</w:t>
      </w:r>
    </w:p>
    <w:p>
      <w:pPr>
        <w:spacing w:after="160"/>
        <w:jc w:val="both"/>
      </w:pPr>
      <w:r>
        <w:t>D\&amp;O Liability insurance in an amount not less than $1,000,000, which policy must include a managing agent rider; and</w:t>
      </w:r>
    </w:p>
    <w:p>
      <w:pPr>
        <w:spacing w:after="160"/>
        <w:jc w:val="both"/>
      </w:pPr>
      <w:r>
        <w:t>Umbrella liability insurance in an amount not less than $10,000,000, which policy must also grant excess coverages over the primary D\&amp;O Liability insurance.</w:t>
      </w:r>
    </w:p>
    <w:p>
      <w:pPr>
        <w:spacing w:after="160"/>
        <w:jc w:val="both"/>
      </w:pPr>
      <w:r>
        <w:rPr>
          <w:b/>
        </w:rPr>
        <w:t xml:space="preserve">Move-In, Move-Out. </w:t>
      </w:r>
      <w:r>
        <w:t>Agent will, with the cooperation of the Client, provide written notice to all Unit Holders moving in or out of the Property of all procedures and fees to which such Unit Holders may be subject in connection with such move, and supervise and schedule such moves with the assistance of building staff.</w:t>
      </w:r>
    </w:p>
    <w:p>
      <w:pPr>
        <w:spacing w:after="160"/>
        <w:jc w:val="both"/>
      </w:pPr>
      <w:r>
        <w:t>The Agent shall designate a mutually acceptable manager for the Property after meeting with the Board to discuss who will be the best fit. The Client acknowledges that the designated manager may also serve as manager for other buildings employing the Agent as managing agent. The Client shall have the right upon giving five (5) business days’ written notice to request a replacement manager and to approve any new manager designated by the Agent.</w:t>
      </w:r>
    </w:p>
    <w:p>
      <w:pPr>
        <w:spacing w:after="160"/>
        <w:jc w:val="both"/>
      </w:pPr>
      <w:r>
        <w:t>Agent shall accept applications and references from prospective shareholders, tenants and subtenants of space being leased or subleased by the Client (and, at the Client's request, for any other space at the Property); obtain credit reports relating to such prospective shareholders and subtenants; obtain from shareholders proposing to transfer their shares in the Client and the appurtenant proprietary leases, or subleasing their apartments, such record searches and documentation as the Client may require, and submit same to the Client; prepare all necessary documents required for approval and the scheduling of interviews and assisting the Board in obtaining such other reasonable information it may require in respect of prospective shareholders and subtenants; and make recommendations to the Client respecting the giving, denying, withholding or conditioning the consent of the Board to such transfers and sublets. Agent shall accept applications from current shareholders for refinancing existing mortgages, transferring shares (e.g., to a spouse), or changing the title of shares held, obtain information and prepare all documents required for approval by the Board of such applications. Agent shall cooperate with the Client’s counsel on these matters as reasonably requested. Agent may charge applicants a processing fee for such services, subject to the approval from Client. Agent shall take all commercially reasonable actions to ensure the confidentiality of all application materials, including maintenance of secure storage facilities or encrypted electronic storage media accessible only to authorized personnel of Agent on a “need-to-know” basis and, if requested by Client, utilize for dissemination of such information to members of the Client’s Board of Directors a secure electronic service, so that only authorized individuals can access the information and then only in a read-only mode, so that recipients will be unable to print, download or forward any such documents.</w:t>
      </w:r>
    </w:p>
    <w:p>
      <w:pPr>
        <w:spacing w:after="160"/>
        <w:jc w:val="both"/>
      </w:pPr>
      <w:r>
        <w:t>Agent shall cooperate reasonably with the Client’s accountants in the preparation and submission annually to the Client, of an operating budget setting forth the anticipated income and expenses of the Client for the ensuing fiscal year, a comparison of said budget to the income and expenses of the preceding and current years and any required explanations with respect thereto. Upon Client’s approval of the budget, Agent shall be authorized to operate and manage the Property in accordance with such budget, subject to the terms of this Agreement.</w:t>
      </w:r>
    </w:p>
    <w:p>
      <w:pPr>
        <w:spacing w:after="160"/>
        <w:jc w:val="both"/>
      </w:pPr>
      <w:r>
        <w:t>In the event the Client’s shareholders wish to alter their apartments, the Agent will, upon receipt, and only upon receipt by Agent of the Unit Alteration Fee (as defined in Section 4(a)(xi), process their application, review alteration plans and arrange for the execution of Client’s alteration agreement and request from the applicant(s) the certificates of insurance, municipal permits, sign-offs and any other items required by the Board, and forward such applications to the Client or, at the Client's direction, to the Client's engineer; subject to the Client's written consent, retain on behalf of Client an engineer to review plans and specifications; coordinate with the Client's superintendent and with the shareholder undertaking the alteration, for the use of the Property’s services and equipment, if necessary. The Agent shall, subject to Client's written consent, retain Client's engineer to be responsible for supervising the actual alterations by shareholders and for verifying that the alterations are performed in accordance with the proposed plans submitted to the Client or in accordance with applicable New York City fire, health, building and other similar laws and codes relating to construction or alterations. Agent may charge shareholders a reasonable fee, as set forth in Section 4, for the performance of the foregoing services. Agent shall not knowingly permit commencement of any shareholder’s alterations without first confirming that the Client’s alteration agreement has been fully executed by the shareholder and Client and that all required insurance and permits have been delivered to Agent. In the event Agent discovers that such alterations have commenced in violation of the foregoing, Agent shall promptly alert Client and unless directed otherwise by Client, shall order that such alterations cease. Agent is not responsible for the supervision of the alterations by the shareholders or for verifying that the alterations are performed in accordance with the plans approved by Client or in accordance with applicable building codes or other applicable laws, however, when Agent is aware of an alteration, Agent shall be responsible for enforcing the provisions of Client’s alteration policies regarding the submission of insurance documentation and required building permits and execution of an alteration agreement before any alteration work may begin and making reasonable attempts to follow up with shareholders to obtain governmental signoffs at the conclusion of the alterations. Agent shall notify Client if such signoffs are not obtained within 60 days following completion of the alterations and shall also notify Client if it becomes aware that the alterations being performed in a given apartment differ from the work described in an approved alteration agreement.</w:t>
      </w:r>
    </w:p>
    <w:p>
      <w:pPr>
        <w:spacing w:after="160"/>
        <w:jc w:val="both"/>
      </w:pPr>
      <w:r>
        <w:t>Agent shall assist the Client in the drafting of letters and other materials for distribution to shareholders and other occupants. Agent shall prepare and send out all letters, notices and reports as the Client may reasonably request, including 1098 forms to shareholders of Client.</w:t>
      </w:r>
    </w:p>
    <w:p>
      <w:pPr>
        <w:spacing w:after="160"/>
        <w:jc w:val="both"/>
      </w:pPr>
      <w:r>
        <w:t>In the event of any mortgage financing or re-financing by the Client, Agent shall, at no additional charge, supply such documentation (such as rent rolls, bank statements, building registrations and licenses), as may be reasonably required by the lender. If Agent is asked to perform services in excess of such routine processing of documents in connection with a refinancing, Agent shall be entitled to an assistance fee as set forth in paragraph 4 herein. Notwithstanding the foregoing, Agent shall not be entitled to an assistance fee from the Client if Client utilizes the services of any licensed mortgage broker (whether or not Agent is selected) and the broker agrees to pay such assistance fee to the Agent.</w:t>
      </w:r>
    </w:p>
    <w:p>
      <w:pPr>
        <w:spacing w:after="160"/>
        <w:jc w:val="both"/>
      </w:pPr>
      <w:r>
        <w:rPr>
          <w:b/>
        </w:rPr>
        <w:t xml:space="preserve">Basic Service Compensation. </w:t>
      </w:r>
      <w:r>
        <w:t>For its performance of the Services, during the Term, Client shall compensate Agent as follows:</w:t>
      </w:r>
    </w:p>
    <w:p>
      <w:pPr>
        <w:spacing w:after="160"/>
        <w:jc w:val="both"/>
      </w:pPr>
      <w:r>
        <w:t>Subject to any Increase (as defined below), $[BASIC COMPENSATION AMOUNT] dollars per month (the “Basic Compensation”).</w:t>
      </w:r>
    </w:p>
    <w:p>
      <w:pPr>
        <w:spacing w:after="160"/>
        <w:jc w:val="both"/>
      </w:pPr>
      <w:r>
        <w:t>Basic Compensation payments are due on the first business day of each calendar month during the Term, prospectively. Basic Compensation payments for any partial calendar month during which Services are rendered shall nonetheless be paid in full in recognition of the costs incurred by the Agent in connection with the planned performance of the Services during that month.</w:t>
      </w:r>
    </w:p>
    <w:p>
      <w:pPr>
        <w:spacing w:before="280" w:after="120"/>
        <w:pBdr>
          <w:bottom w:val="single" w:sz="4" w:space="4" w:color="C9A227"/>
        </w:pBdr>
      </w:pPr>
      <w:r>
        <w:rPr>
          <w:rFonts w:ascii="Georgia" w:hAnsi="Georgia"/>
          <w:b/>
          <w:color w:val="162B4D"/>
          <w:sz w:val="26"/>
        </w:rPr>
        <w:t>Emergency Services</w:t>
      </w:r>
    </w:p>
    <w:p>
      <w:pPr>
        <w:spacing w:after="160"/>
        <w:jc w:val="both"/>
      </w:pPr>
      <w:r>
        <w:t>In the event that the Agent determines, in its reasonable discretion, that the immediate performance of a particular service or services is necessary for the preservation or safety of the Property, and/or for the safety and well-being of the Unit Holders or required to avoid suspension of any necessary service in the Property (“Emergency Services”), Agent shall procure third-party assistance as necessary to fully and adequately perform Emergency Services (“Third-Party Emergency Services Support”). Prior to obtaining Client’s approval for Emergency Services, Agent shall only perform so much of the Emergency Services as is required to be done so as to abate the emergency and Agent shall obtain Client’s approval for the non-emergency portions of such Emergency Services. Any time after Agent’s commencement of any Emergency Services, Client may order that Agent cease such Emergency Services. If so ordered, Agent shall cease such Emergency Services and may, notwithstanding Section 1, above, terminate this Agreement immediately. Costs incurred in connection with any Emergency Services rendered (the “Emergency Service Costs,” and together with the Basic Service Costs, the “Service Costs”), including for Third-Party Emergency Services Support shall be paid for out of the Operating Account by the Agent as they accrue, without requirement of any consent to such payment from the Client. Costs incurred by Agent in rendering Emergency Services are discussed in Section 5(d), below.</w:t>
      </w:r>
    </w:p>
    <w:p>
      <w:pPr>
        <w:spacing w:after="160"/>
        <w:jc w:val="both"/>
      </w:pPr>
      <w:r>
        <w:rPr>
          <w:b/>
        </w:rPr>
        <w:t xml:space="preserve">Emergency Service Compensation. </w:t>
      </w:r>
      <w:r>
        <w:t>Client shall compensate Agent for Agent’s coordination or rendering of the Emergency Services, or assistance in the coordination or rendering thereof (the “Emergency Compensation”) as follows:</w:t>
      </w:r>
    </w:p>
    <w:p>
      <w:pPr>
        <w:spacing w:after="160"/>
        <w:jc w:val="both"/>
      </w:pPr>
      <w:r>
        <w:t>At the end of each calendar month during which the Agent renders any Emergency Services, Agent shall submit to Client an invoice describing in reasonable detail all Emergency Services rendered by Agent during that calendar month, and the Emergency Compensation due in connection therewith (an “Emergency Services Invoice”).</w:t>
      </w:r>
    </w:p>
    <w:p>
      <w:pPr>
        <w:spacing w:after="160"/>
        <w:jc w:val="both"/>
      </w:pPr>
      <w:r>
        <w:t>For each day of Emergency Services rendered by Agent, or its personnel, Client shall compensate Agent an hourly fee of $150 dollars, whichever is agreed upon in advance, until the Client and Agent mutually agree upon a budget for such Emergency Services.</w:t>
      </w:r>
    </w:p>
    <w:p>
      <w:pPr>
        <w:spacing w:after="160"/>
        <w:jc w:val="both"/>
      </w:pPr>
      <w:r>
        <w:t>Payment of Emergency Compensation detailed on an Emergency Services Invoice may, at Client’s election, be payable out of Client’s proceeds from any claim made under the covering Insurance Policy (“Insurance Claims”), provided, however that if Agent does not receive such proceeds within thirty days of the date the respective Emergency Services Invoice was delivered or Client fails to so elect to make payment out of and upon timely receipt of such proceeds, Client shall promptly (and not more than ten (10) calendar days thereafter) make full payment of the Emergency Compensation to Agent, which payment shall be considered final and non-refundable.</w:t>
      </w:r>
    </w:p>
    <w:p>
      <w:pPr>
        <w:spacing w:before="280" w:after="120"/>
        <w:pBdr>
          <w:bottom w:val="single" w:sz="4" w:space="4" w:color="C9A227"/>
        </w:pBdr>
      </w:pPr>
      <w:r>
        <w:rPr>
          <w:rFonts w:ascii="Georgia" w:hAnsi="Georgia"/>
          <w:b/>
          <w:color w:val="162B4D"/>
          <w:sz w:val="26"/>
        </w:rPr>
        <w:t>The Additional Services</w:t>
      </w:r>
    </w:p>
    <w:p>
      <w:pPr>
        <w:spacing w:after="160"/>
        <w:jc w:val="both"/>
      </w:pPr>
      <w:r>
        <w:t>In addition to the Services, upon Client’s request, during the Term, Client may request Agent perform certain additional services (the “Additional Services”). Agent may retain third parties, at its discretion and cost, to assist in performing the Additional Services. Additional Services shall consist of the following:</w:t>
      </w:r>
    </w:p>
    <w:p>
      <w:pPr>
        <w:spacing w:after="160"/>
        <w:jc w:val="both"/>
      </w:pPr>
      <w:r>
        <w:rPr>
          <w:b/>
        </w:rPr>
        <w:t xml:space="preserve">Lease Services. </w:t>
      </w:r>
      <w:r>
        <w:t>The Agent shall not be entitled to any brokerage commissions for the sale of any Unit owned by a Unit Holder and sold by such Unit Holder or for the leasing of any Unit by such Unit Holder unless such Unit Holder shall directly engage the services of Agent as broker, and in no event shall the Client be liable for any such commissions. Notwithstanding the foregoing, however, the Agent may notify the Unit Holders of Agent’s willingness to act as broker on their behalf.</w:t>
      </w:r>
    </w:p>
    <w:p>
      <w:pPr>
        <w:spacing w:after="160"/>
        <w:jc w:val="both"/>
      </w:pPr>
      <w:r>
        <w:rPr>
          <w:b/>
        </w:rPr>
        <w:t xml:space="preserve">Sub-Lease Application Services. </w:t>
      </w:r>
      <w:r>
        <w:t>Agent shall process all Unit sublease applications. For each Unit sublease application processed by Agent, the Unit Holder or applicant shall compensate Agent Five Hundred dollars ($500) (the “Lease Application Fee”), prior to Agent performing such service..</w:t>
      </w:r>
    </w:p>
    <w:p>
      <w:pPr>
        <w:spacing w:after="160"/>
        <w:jc w:val="both"/>
      </w:pPr>
      <w:r>
        <w:rPr>
          <w:b/>
        </w:rPr>
        <w:t xml:space="preserve">Transfer Service. </w:t>
      </w:r>
      <w:r>
        <w:t>The Agent shall process applications in connection with the transfer of Units by Unit Holders and the transferring Unit Holder or applicant shall compensate Agent Five Hundred dollars ($500.00) on a per transfer basis (a “Transfer Application Fee”) provided, however, that the Transfer Application Fee is paid up front and in advance of Agent’s performance of this Additional Service. .</w:t>
      </w:r>
    </w:p>
    <w:p>
      <w:pPr>
        <w:spacing w:after="160"/>
        <w:jc w:val="both"/>
      </w:pPr>
      <w:r>
        <w:rPr>
          <w:b/>
        </w:rPr>
        <w:t xml:space="preserve">Broker Service. </w:t>
      </w:r>
      <w:r>
        <w:t>The brokerage by Agent of any Property financing (a “Property Financing”), for which Client shall compensate Agent One Percent (1%) of any amount raised. If Agent does not broker such Property Financing but is asked to perform services in excess of the routine processing of documents referenced in Paragraph 2 herein, Agent shall be entitled to an assistance fee of a One Quarter of One Percent (0.25%) of the amount of such Property Financing (the fees discussed in this Section 4, hereinafter referred to as a “Property Financing Fee”).</w:t>
      </w:r>
    </w:p>
    <w:p>
      <w:pPr>
        <w:spacing w:after="160"/>
        <w:jc w:val="both"/>
      </w:pPr>
      <w:r>
        <w:rPr>
          <w:b/>
        </w:rPr>
        <w:t xml:space="preserve">Hearing Service. </w:t>
      </w:r>
      <w:r>
        <w:t>The appearance by Agent, or any of its personnel, at any civil, criminal, supreme court, union, arbitration, mediation, environmental or other hearing, or as an expert witness at any of the foregoing (each a “Hearing”), for which Client shall compensate Agent One Hundred Fifty dollars ($150) per hour spent by Agent, or its personnel, at any such Hearing (a “Hearing Fee”) but in any event not to exceed one thousand dollars ($1,000.00) per day.</w:t>
      </w:r>
    </w:p>
    <w:p>
      <w:pPr>
        <w:spacing w:after="160"/>
        <w:jc w:val="both"/>
      </w:pPr>
      <w:r>
        <w:rPr>
          <w:b/>
        </w:rPr>
        <w:t xml:space="preserve">Unit Alterations. </w:t>
      </w:r>
      <w:r>
        <w:t>In connection with Agent’s processing of alteration applications in connection with any planned alteration (other than decorating) to a Unit by such Unit Holders (each a “Unit Alteration”), the Unit Holder shall compensate Agent (i) Two Hundred Fifty dollars ($250) if the total construction cost of the Unit Alteration is less than $24,999; and (ii) Five Hundred dollars ($500) if the total construction cost of the Unit Alteration is more than $24,999. (any payment made to Agent under this Section 4 is hereinafter referred to as the “Unit Alteration Fee”).</w:t>
      </w:r>
    </w:p>
    <w:p>
      <w:pPr>
        <w:spacing w:after="160"/>
        <w:jc w:val="both"/>
      </w:pPr>
      <w:r>
        <w:rPr>
          <w:b/>
        </w:rPr>
        <w:t xml:space="preserve">Audit Service. </w:t>
      </w:r>
      <w:r>
        <w:t>The Client shall pay to Agent an “Audit Fee” of One Hundred ($100) dollars per hour for the time spent by the Agent or its personnel to manage any audit of the Property that was organized, authorized or commenced by the Client. Notwithstanding the foregoing, Agent shall cooperate with Client’s accountant(s) with regard to the annual audit of the Client’s financial statements at no charge.</w:t>
      </w:r>
    </w:p>
    <w:p>
      <w:pPr>
        <w:spacing w:after="160"/>
        <w:jc w:val="both"/>
      </w:pPr>
      <w:r>
        <w:rPr>
          <w:b/>
        </w:rPr>
        <w:t xml:space="preserve">Concierge Service. </w:t>
      </w:r>
      <w:r>
        <w:t>The Agent may offer concierge services to Unit Holders, for which the Unit Holders shall compensate the Agent for such concierge services (the “Concierge Fee”). Agent is under no obligation to deliver any such concierge services and the compensation due to Agent from Unit Holders shall be agreed upon by and between the Agent and the Unit Holder.</w:t>
      </w:r>
    </w:p>
    <w:p>
      <w:pPr>
        <w:spacing w:after="160"/>
        <w:jc w:val="both"/>
      </w:pPr>
      <w:r>
        <w:rPr>
          <w:b/>
        </w:rPr>
        <w:t xml:space="preserve">Ancillary Fee. </w:t>
      </w:r>
      <w:r>
        <w:t>Except as otherwise set forth herein, the Client shall also be responsible for the fees set forth on the Ancillary Fee Schedule set forth on Page 19 of this Agreement.</w:t>
      </w:r>
    </w:p>
    <w:p>
      <w:pPr>
        <w:spacing w:after="160"/>
        <w:jc w:val="both"/>
      </w:pPr>
      <w:r>
        <w:rPr>
          <w:b/>
        </w:rPr>
        <w:t xml:space="preserve">Additional Compensation. </w:t>
      </w:r>
      <w:r>
        <w:t>On a monthly basis, Agent shall submit to Client an invoice detailing all Compensation for Additional Services due and payable by the Client (as opposed to the Unit Holder) (“Additional Compensation” and together with Basic Compensation and the Emergency Services Compensation, hereinafter referred to as the “Services Compensation”) due to Agent for Additional Services performed during the prior calendar month (a “Fees Invoice”). All amounts due pursuant to any Fees Invoice shall be payable on the first business day of the calendar month following the calendar month during which the Fees Invoice was delivered.</w:t>
      </w:r>
    </w:p>
    <w:p>
      <w:pPr>
        <w:spacing w:after="160"/>
        <w:jc w:val="both"/>
      </w:pPr>
      <w:r>
        <w:rPr>
          <w:b/>
        </w:rPr>
        <w:t xml:space="preserve">Extraordinary Projects. </w:t>
      </w:r>
      <w:r>
        <w:t>The Services Compensation guaranteed by this Agreement, does not contemplate or compensate Agent for the performance of any supervisory or management services for projects beyond the Basic Services, the Additional Services and the Emergency Services (each such non-contemplated project hereinafter referred to as a “Capital Project”). For the avoidance of doubt, Capital Projects are alteration or repair projects not otherwise included in or covered by the Basic, Emergency or Additional Services. In the event that either (i) Agent, with Client’s prior written approval, desires to implement a Capital Project, or (ii) Client desires Agent to implement a Capital Project, the Parties will use best efforts to agree on the terms of such Capital Project, the services of Agent to be provided in connection with such Capital Project, and any compensation to which Agent will be entitled in connection with such Capital Project (“Capital Project Compensation”), provided that in the event no such agreement is reached, Agent shall be responsible at no additional cost for performing all Basic Services, Additional Services, and Emergency Services as otherwise set forth herein, including but not limited to the routine processing of documents related to such work and/or coordinating the Client’s employees and the professionals retained in connection therewith and arranging access by contractors, architects and service companies hired by Client to common areas of the Property and assisting in arranging access to individual Units if necessary. Failure by the Parties to agree to the implementation of any Capital Project, or any respective Capital Project Compensation SHALL NOT constitute a material breach of this Agreement.</w:t>
      </w:r>
    </w:p>
    <w:p>
      <w:pPr>
        <w:spacing w:before="280" w:after="120"/>
        <w:pBdr>
          <w:bottom w:val="single" w:sz="4" w:space="4" w:color="C9A227"/>
        </w:pBdr>
      </w:pPr>
      <w:r>
        <w:rPr>
          <w:rFonts w:ascii="Georgia" w:hAnsi="Georgia"/>
          <w:b/>
          <w:color w:val="162B4D"/>
          <w:sz w:val="26"/>
        </w:rPr>
        <w:t>Compensation, Generally</w:t>
      </w:r>
    </w:p>
    <w:p>
      <w:pPr>
        <w:spacing w:after="160"/>
        <w:jc w:val="both"/>
      </w:pPr>
      <w:r>
        <w:rPr>
          <w:b/>
        </w:rPr>
        <w:t xml:space="preserve">Start-Up Fees. </w:t>
      </w:r>
      <w:r>
        <w:t>Upon execution of this Agreement, and not more than five (5) calendar days thereafter, Client shall pay to Agent a one-time non-refundable setup fee of [START-UP FEE IN WORDS] dollars ($[START-UP FEE AMOUNT]), in anticipation of certain expenses to be incurred by Agent in connection with the commencement of its performance of the Services.</w:t>
      </w:r>
    </w:p>
    <w:p>
      <w:pPr>
        <w:spacing w:after="160"/>
        <w:jc w:val="both"/>
      </w:pPr>
      <w:r>
        <w:rPr>
          <w:b/>
        </w:rPr>
        <w:t xml:space="preserve">Increase in Compensation. </w:t>
      </w:r>
      <w:r>
        <w:t>Not less than thirty (30) calendar days prior to the start of any Renewal Period, the Parties shall use best efforts to agree upon the increase to the Services Compensation for such Renewal Period (the “Increase”). A failure by the Parties to agree to the Increase for any Renewal Period shall result in there being no Increase for that Renewal Period.</w:t>
      </w:r>
    </w:p>
    <w:p>
      <w:pPr>
        <w:spacing w:before="280" w:after="120"/>
        <w:pBdr>
          <w:bottom w:val="single" w:sz="4" w:space="4" w:color="C9A227"/>
        </w:pBdr>
      </w:pPr>
      <w:r>
        <w:rPr>
          <w:rFonts w:ascii="Georgia" w:hAnsi="Georgia"/>
          <w:b/>
          <w:color w:val="162B4D"/>
          <w:sz w:val="26"/>
        </w:rPr>
        <w:t>Representations and Warranties of the Client</w:t>
      </w:r>
    </w:p>
    <w:p>
      <w:pPr>
        <w:spacing w:after="160"/>
        <w:jc w:val="both"/>
      </w:pPr>
      <w:r>
        <w:rPr>
          <w:b/>
        </w:rPr>
        <w:t xml:space="preserve">Operating Account. </w:t>
      </w:r>
      <w:r>
        <w:t>Client will, at all times, maintain sufficient funds in the Operating Account to pay for all Service Costs and Services Compensation.</w:t>
      </w:r>
    </w:p>
    <w:p>
      <w:pPr>
        <w:spacing w:after="160"/>
        <w:jc w:val="both"/>
      </w:pPr>
      <w:r>
        <w:rPr>
          <w:b/>
        </w:rPr>
        <w:t xml:space="preserve">Organization. </w:t>
      </w:r>
      <w:r>
        <w:t>Client is a corporation duly organized, validly existing and in good standing under the Laws of New York and is qualified to do business in every jurisdiction in which its ownership of property or conduct of business requires it to qualify.</w:t>
      </w:r>
    </w:p>
    <w:p>
      <w:pPr>
        <w:spacing w:after="160"/>
        <w:jc w:val="both"/>
      </w:pPr>
      <w:r>
        <w:rPr>
          <w:b/>
        </w:rPr>
        <w:t xml:space="preserve">Authority. </w:t>
      </w:r>
      <w:r>
        <w:t>Client has full power and authority to execute and deliver this Agreement, to perform its obligations hereunder and thereunder and to consummate the transactions contemplated hereby.</w:t>
      </w:r>
    </w:p>
    <w:p>
      <w:pPr>
        <w:spacing w:after="160"/>
        <w:jc w:val="both"/>
      </w:pPr>
      <w:r>
        <w:rPr>
          <w:b/>
        </w:rPr>
        <w:t xml:space="preserve">Government Approval and Filings. </w:t>
      </w:r>
      <w:r>
        <w:t>No approval or action of, filing with or notice to any governmental authority on the part of Client is required in connection with the execution, delivery and performance of this Agreement or the consummation of the transactions contemplated hereby.</w:t>
      </w:r>
    </w:p>
    <w:p>
      <w:pPr>
        <w:spacing w:after="160"/>
        <w:jc w:val="both"/>
      </w:pPr>
      <w:r>
        <w:rPr>
          <w:b/>
        </w:rPr>
        <w:t xml:space="preserve">No Conflicts. </w:t>
      </w:r>
      <w:r>
        <w:t>The execution and delivery by Client of this Agreement does not, and the performance by Client of its obligations under this Agreement and the consummation of the transactions contemplated hereby will not conflict with or result in a violation or breach of any of the terms, conditions or provisions of the articles of organization, operating agreement or other constituent documents of Client.</w:t>
      </w:r>
    </w:p>
    <w:p>
      <w:pPr>
        <w:spacing w:after="160"/>
        <w:jc w:val="both"/>
      </w:pPr>
      <w:r>
        <w:t>Breach of any of the representations or warranties of Client in this Section 7 shall constitute a material breach of this Agreement.</w:t>
      </w:r>
    </w:p>
    <w:p>
      <w:pPr>
        <w:spacing w:before="280" w:after="120"/>
        <w:pBdr>
          <w:bottom w:val="single" w:sz="4" w:space="4" w:color="C9A227"/>
        </w:pBdr>
      </w:pPr>
      <w:r>
        <w:rPr>
          <w:rFonts w:ascii="Georgia" w:hAnsi="Georgia"/>
          <w:b/>
          <w:color w:val="162B4D"/>
          <w:sz w:val="26"/>
        </w:rPr>
        <w:t>Obligations Upon Termination</w:t>
      </w:r>
    </w:p>
    <w:p>
      <w:pPr>
        <w:spacing w:after="160"/>
        <w:jc w:val="both"/>
      </w:pPr>
      <w:r>
        <w:t>Upon termination of this Agreement, the Parties shall, in good faith: (a) promptly cooperate with one another and with Client’s new management company in connection with the transition from Agent’s services hereunder, and (b) account to each other with respect to all uncompleted business. Further, the Agent shall promptly and without charges deliver to the Client or its designee all funds and other property belonging to the Client, including but not limited to all of the Client’s (with the exception of an amount deemed reasonable and reasonably necessary by Agent to pay then accrued and payable Service Costs and any uncleared checks) cancelled checks, bank statements and other bank records, all rent rolls, bills, ledgers, correspondence, lease agreements, sub-lease agreements, books and records and other instruments relating to the Property and in the possession of the Agent. In addition, Agent shall furnish a digital copy of all such books and records. Agent shall, at a minimum, follow the guidelines on the transition of management promulgated by the Real Estate Board of New York, Inc. No new business between the Parties may be requested, assumed, or directed upon termination except for transitional procedures and transfer of Property files as appropriate. Notwithstanding the foregoing, from the time either Party provides notice of termination to the other Party, or otherwise provides notice of its desire for the Agreement not to renew for the subsequent Renewal Period until the termination of expiration of the Agreement, the Agent may continue to render the Services in accordance with the terms of this Agreement.</w:t>
      </w:r>
    </w:p>
    <w:p>
      <w:pPr>
        <w:spacing w:after="160"/>
        <w:jc w:val="both"/>
      </w:pPr>
      <w:r>
        <w:t>Upon termination, any Services Compensation then due to the Agent shall become immediately due and payable, and with respect to Emergency Compensation, such amount shall be considered immediately due and payable by the Client, regardless of the status of any outstanding Insurance Claims.</w:t>
      </w:r>
    </w:p>
    <w:p>
      <w:pPr>
        <w:spacing w:after="160"/>
        <w:jc w:val="both"/>
      </w:pPr>
      <w:r>
        <w:t>Indemnification.</w:t>
      </w:r>
    </w:p>
    <w:p>
      <w:pPr>
        <w:spacing w:after="160"/>
        <w:jc w:val="both"/>
      </w:pPr>
      <w:r>
        <w:t>The Parties’ Duty to Indemnify. Client will indemnify and hold harmless the Agent from and against (a) any liability, damages, costs and expenses (including reasonable attorneys' fees) sustained or incurred for injury to any person or property in, about and in connection with the Property, when Agent is carrying out the provisions of this Agreement, or pursuant to the directions of Client, from any cause whatsoever, unless such injury shall be proven to be caused by the Agent's own negligence, willful misconduct, or failure to comply with its obligations hereunder, and (b) any liability, damages, penalties, costs and expenses, statutory or otherwise, for all acts performed by the Agent pursuant to this Agreement or the instructions of Client, provided, in each instance in which Agent seeks indemnification, that the Agent advises Client of its receipt of information concerning any such injury and the amount of any such liability, damages, penalties, costs and expenses, cooperates fully with Client and its attorneys at all stages of any such claims, actions and proceedings and furnishes to Client and its attorneys upon receipt all papers, documents and other evidence, and such witnesses under its control as shall be related to the matter for which Agent seeks indemnification or as requested by Client or its attorneys. Notwithstanding the foregoing, Client shall have no duty to indemnify, defend or hold harmless Agent if the respective loss, liability, damages, penalties, costs and expenses are due to, arising out of or in any way related to Agent’s or Agent’s principals’, representatives’, members’, managers’, partners’, directors’, officers’ or employees’ (i) gross negligence or willful misconduct, (ii) willful failure to comply with the instructions of Client, or (ii) acting outside of the scope of its duties or authority as granted hereunder.</w:t>
      </w:r>
    </w:p>
    <w:p>
      <w:pPr>
        <w:spacing w:after="160"/>
        <w:jc w:val="both"/>
      </w:pPr>
      <w:r>
        <w:t>Agent will indemnify and hold Client its shareholders, directors, managers, officers, employees, representatives, assigns and agents harmless from any claims, damages, judgments, costs, liabilities or expense, including, without limitation, the reasonable fees and disbursements of attorneys and other professionals, to the extent of Agent's willful misconduct or negligence in performing its obligations under this Agreement; provided that in each instance, the Client promptly notifies Agent of its receipt of information concerning such claim, but the failure to so notify the Agent shall not relieve Agent of its obligations hereunder except to the extent such failure to notify prejudices Agent.</w:t>
      </w:r>
    </w:p>
    <w:p>
      <w:pPr>
        <w:spacing w:after="160"/>
        <w:jc w:val="both"/>
      </w:pPr>
      <w:r>
        <w:rPr>
          <w:b/>
        </w:rPr>
        <w:t xml:space="preserve">Indemnity Bond. </w:t>
      </w:r>
      <w:r>
        <w:t>The Agent shall, if requested by Client, at Client’s expense, procure a fidelity bond issued by a bonding insurance or casualty company authorized to do business in the State of New York and acceptable to Client in its sole and reasonable discretion, pursuant to which Client will be held harmless by the surety in an amount to be determined by Client, in its sole discretion, from any loss of money or other personal property belonging to Client or for which Client is legally liable, caused by larceny, embezzlement, forgery, misappropriation, wrongful abstraction or any dishonest or fraudulent acts committed on or after the date hereof, by the Agent or its directors, managers, officers or employees. Agent represents that Agent has in effect an insurance policy covering employee dishonesty and defalcation in the amount of $1,000,000.00 and that Client would be covered under such policy in the event of any defalcation by Agent’s officers or employees. Agent shall provide Client with a copy of such policy and have Client named as an additional insured under such policy.</w:t>
      </w:r>
    </w:p>
    <w:p>
      <w:pPr>
        <w:spacing w:after="160"/>
        <w:jc w:val="both"/>
      </w:pPr>
      <w:r>
        <w:rPr>
          <w:b/>
        </w:rPr>
        <w:t xml:space="preserve">Authority. </w:t>
      </w:r>
      <w:r>
        <w:t>Client authorizes the Agent, for Client’s account and on its behalf, to perform any act or do anything necessary or desirable in order to perform the Services, as set forth and subject to the limitations contained herein, as agent of Client and all obligations or expenses incurred there under shall be at the expense of Client except Agent's overhead expenses including, without limitation, the salaries of Agent's employees and Agent's tax obligations.</w:t>
      </w:r>
    </w:p>
    <w:p>
      <w:pPr>
        <w:spacing w:after="160"/>
        <w:jc w:val="both"/>
      </w:pPr>
      <w:r>
        <w:t>Any payments made by the Agent hereunder shall be made out of the Operating Account. Agent shall not be obligated to make any advance to or for the account of Client or to pay any amount except out of funds held or provided as aforesaid, nor shall the Agent be obligated to incur any liability or obligation unless Client shall furnish Agent with the necessary funds for the discharge thereof. If Agent shall voluntarily advance for Client’s account any amount which Agent is authorized to spend hereunder for the payment of any obligation or necessary expense connected with the maintenance or operation of the Property or otherwise, Client shall reimburse the Agent therefore on demand, or as otherwise set forth herein.</w:t>
      </w:r>
    </w:p>
    <w:p>
      <w:pPr>
        <w:spacing w:after="160"/>
        <w:jc w:val="both"/>
      </w:pPr>
      <w:r>
        <w:rPr>
          <w:b/>
        </w:rPr>
        <w:t xml:space="preserve">Licenses. </w:t>
      </w:r>
      <w:r>
        <w:t>The Agent represents to Client that it is duly licensed by the Department of State of the State of New York as a real estate broker and also by the Department of Law of said state as a broker-dealer insofar as broker-dealer licensing is required in order to enable it to lawfully perform its duties hereunder and such other licenses that may be required in order to enable it to lawfully perform its duties hereunder and that Agent shall maintain such licenses in good standing throughout the term of this Agreement and any extension thereof. Agent further represents that it is duly authorized to conduct business in the State of New York and shall, at all times during the term of this Agreement and any extension thereof, be in compliance with all applicable laws, codes, rules, regulations and ordinances of all governmental authorities having jurisdiction, as shall be required for the services to be rendered by Agent pursuant to this Agreement. Agent shall comply with all federal, state and municipal laws, rules, regulations and other requirements applicable to Agent as an employer of labor.</w:t>
      </w:r>
    </w:p>
    <w:p>
      <w:pPr>
        <w:spacing w:after="160"/>
        <w:jc w:val="both"/>
      </w:pPr>
      <w:r>
        <w:t>Miscellaneous.</w:t>
      </w:r>
    </w:p>
    <w:p>
      <w:pPr>
        <w:spacing w:after="160"/>
        <w:jc w:val="both"/>
      </w:pPr>
      <w:r>
        <w:rPr>
          <w:b/>
        </w:rPr>
        <w:t xml:space="preserve">Notice. </w:t>
      </w:r>
      <w:r>
        <w:t>All notices, requests, consents, approvals, demand or other communications required or permitted to be given under this Agreement shall be effective only if in writing sent to the address of the intended recipient first hereinabove written and either (i) served personally, (ii) sent by nationally recognized overnight courier service (e.g., FedEx, USPS Express Mail, Airborne/DHL, UPS Next Day Service), or (iii) sent by certified or registered mail. Either party may designate a substitute address or addresses by notice to the other party given in accordance with this Article. Notices shall be deemed given, (a) if sent by nationally recognized overnight courier service on the next business day following the date shown on a receipt for the parcel containing the notice given by an authorized representative of the nationally recognized overnight courier service or the date shown as the date of receipt by the nationally recognized overnight courier service on the service’s website, whichever is sooner, or (b) if sent by certified or registered mail, three (3) calendar days after the date shown on the official receipt for deposit with the United States Postal Service for the letter or parcel containing such notice, or (c) if personally delivered, upon receipt by the intended recipient or by a responsible adult person at the intended recipient’s address. Notwithstanding the foregoing, any notice of change of address shall not be effective until actually received. Agent affirms that Agent has no relationship or affiliation with the sponsor of the Property.</w:t>
      </w:r>
    </w:p>
    <w:p>
      <w:pPr>
        <w:spacing w:after="160"/>
        <w:jc w:val="both"/>
      </w:pPr>
      <w:r>
        <w:rPr>
          <w:b/>
        </w:rPr>
        <w:t xml:space="preserve">Entire Agreement. </w:t>
      </w:r>
      <w:r>
        <w:t>This Agreement constitutes the entire agreement and understanding between the Parties with respect to the Services, and the other subject matter contained herein, expressly superseding all prior written, oral or implied agreements and understandings.</w:t>
      </w:r>
    </w:p>
    <w:p>
      <w:pPr>
        <w:spacing w:after="160"/>
        <w:jc w:val="both"/>
      </w:pPr>
      <w:r>
        <w:rPr>
          <w:b/>
        </w:rPr>
        <w:t xml:space="preserve">Waiver. </w:t>
      </w:r>
      <w:r>
        <w:t>The waiver by either Party of any breach of any covenant, representation or condition of this Agreement shall not be construed as a waiver of any subsequent breach of such covenant or condition or of the breach of any other restrictive covenant or condition contained in this Agreement.</w:t>
      </w:r>
    </w:p>
    <w:p>
      <w:pPr>
        <w:spacing w:after="160"/>
        <w:jc w:val="both"/>
      </w:pPr>
      <w:r>
        <w:rPr>
          <w:b/>
        </w:rPr>
        <w:t xml:space="preserve">Headings. </w:t>
      </w:r>
      <w:r>
        <w:t>Any section or paragraph title or caption contained in this Agreement is for convenience only, and in no way defines, limits or describes the scope or intent of this Agreement or any of the provisions hereof.</w:t>
      </w:r>
    </w:p>
    <w:p>
      <w:pPr>
        <w:spacing w:after="160"/>
        <w:jc w:val="both"/>
      </w:pPr>
      <w:r>
        <w:rPr>
          <w:b/>
        </w:rPr>
        <w:t xml:space="preserve">Assignment. </w:t>
      </w:r>
      <w:r>
        <w:t>Neither Party may assign this Agreement without the prior written consent of the other Party. Any such purported assignment shall be void.</w:t>
      </w:r>
    </w:p>
    <w:p>
      <w:pPr>
        <w:spacing w:after="160"/>
        <w:jc w:val="both"/>
      </w:pPr>
      <w:r>
        <w:rPr>
          <w:b/>
        </w:rPr>
        <w:t xml:space="preserve">Severability. </w:t>
      </w:r>
      <w:r>
        <w:t>If any term, condition, or provision of this Agreement shall be found to be illegal or unenforceable to any extent for any reason, such provision shall be modified or deleted so as to make the balance of this Agreement, as modified, valid and enforceable to the fullest extent permitted by applicable law.</w:t>
      </w:r>
    </w:p>
    <w:p>
      <w:pPr>
        <w:spacing w:after="160"/>
        <w:jc w:val="both"/>
      </w:pPr>
      <w:r>
        <w:rPr>
          <w:b/>
        </w:rPr>
        <w:t xml:space="preserve">Amendment or Modification. </w:t>
      </w:r>
      <w:r>
        <w:t>This Agreement shall not be amended, revoked, altered or modified in whole or in part, except by an agreement in writing signed by the Parties.</w:t>
      </w:r>
    </w:p>
    <w:p>
      <w:pPr>
        <w:spacing w:after="160"/>
        <w:jc w:val="both"/>
      </w:pPr>
      <w:r>
        <w:rPr>
          <w:b/>
        </w:rPr>
        <w:t xml:space="preserve">Governing Law. </w:t>
      </w:r>
      <w:r>
        <w:t>These Terms shall be governed by and construed in accordance with the laws of the State of New York without regard to conflict or conflict of law principles. The Supreme Court of the State of New York shall hear any dispute or claim that arises out of or is relative to the terms of this Agreement. The parties hereto agree that the County of New York shall be deemed to be their proper county for venue in any such action.</w:t>
      </w:r>
    </w:p>
    <w:p>
      <w:pPr>
        <w:spacing w:after="160"/>
        <w:jc w:val="both"/>
      </w:pPr>
      <w:r>
        <w:rPr>
          <w:b/>
        </w:rPr>
        <w:t xml:space="preserve">Construction. </w:t>
      </w:r>
      <w:r>
        <w:t>This Agreement shall not be construed against any Party by reason of the fact that the Party may be responsible for the drafting of this Agreement or any provision hereof.</w:t>
      </w:r>
    </w:p>
    <w:p>
      <w:pPr>
        <w:spacing w:after="160"/>
        <w:jc w:val="both"/>
      </w:pPr>
      <w:r>
        <w:rPr>
          <w:b/>
        </w:rPr>
        <w:t xml:space="preserve">Signatures and Counterparts. </w:t>
      </w:r>
      <w:r>
        <w:t>This Agreement may be executed electronically and in more than one counterpart, each of which shall be deemed an original and all of which together shall be deemed one and the same instrument. A facsimile or PDF copy of this Agreement shall have the same force and effect as an original thereof.</w:t>
      </w:r>
    </w:p>
    <w:p>
      <w:pPr>
        <w:spacing w:after="160"/>
        <w:jc w:val="both"/>
      </w:pPr>
      <w:r>
        <w:t>Client’s Monies. All funds collected by the Agent for the account of the Client shall be deposited in such FDIC insured bank or trust company in the City of New York, County of New York, or such other financial institution as directed by Client, in a general deposit account. All such funds shall be held in a special account in the name of the Agent, as agent for Client and will not be co-mingled with Agent’s funds or other funds collected by the Agent, as agent for others, but the Agent shall be under no liability or responsibility for any loss resulting from the insolvency of such depository. All accounts maintained hereunder shall be established so that Client may access such accounts, write checks and withdraw funds without the necessity of Agent’s approval or signature. Client shall at all times be provided online access to all accounts maintained by Agent for Client. Client shall have the right, at any time, to terminate or limit the authority of Agent to withdraw funds from the account(s), and to require funds to be transferred by Agent or by the bank in which the funds are located to any other account designated by Client. The Agent shall not invest any of the funds of Client unless otherwise directed in writing by Client. The Agent shall not be liable for any losses suffered in connection with such investment. Any banking fees, or charges, in connection with such account or investment shall be paid out of the funds.</w:t>
      </w:r>
    </w:p>
    <w:p>
      <w:pPr>
        <w:spacing w:before="280" w:after="120"/>
        <w:pBdr>
          <w:bottom w:val="single" w:sz="4" w:space="4" w:color="C9A227"/>
        </w:pBdr>
      </w:pPr>
      <w:r>
        <w:rPr>
          <w:rFonts w:ascii="Georgia" w:hAnsi="Georgia"/>
          <w:b/>
          <w:color w:val="162B4D"/>
          <w:sz w:val="26"/>
        </w:rPr>
        <w:t>Representations re: Criminal and Civil Proceedings</w:t>
      </w:r>
    </w:p>
    <w:p>
      <w:pPr>
        <w:spacing w:after="160"/>
        <w:jc w:val="both"/>
      </w:pPr>
      <w:r>
        <w:t>Agent represents that neither Agent, any principal, director, or officer of Agent, nor (to the best of Agent's knowledge) any property manager, agent or employee of Agent have been convicted of any misdemeanor or felony, are currently subject to any investigation, criminal charges, indictments or proceedings of any nature, or (to the best of Agent's knowledge) to any criminal investigation. Agent shall at all times maintain a policy of immediate termination for crimes of moral turpitude committed by its directors, officers, agents, principals and/or employees.</w:t>
      </w:r>
    </w:p>
    <w:p>
      <w:pPr>
        <w:spacing w:after="160"/>
        <w:jc w:val="both"/>
      </w:pPr>
      <w:r>
        <w:t>Agent represents that neither Agent, any principal, director or officer of Agent, nor (to the best of Agent's knowledge) any property manager, agent or employee of Agent are subject to any pending civil proceedings, or have executed any settlement agreement, consent decree or similar document, from which a reasonable person might question Agent's ability to fulfill its obligations under this Agreement in accordance with the highest standards of conduct.</w:t>
      </w:r>
    </w:p>
    <w:p>
      <w:pPr>
        <w:spacing w:after="160"/>
        <w:jc w:val="both"/>
      </w:pPr>
      <w:r>
        <w:t>Agent's representations in this Article shall be continuing representations which survive the execution of this Agreement. Breach of these representations in this Article shall be grounds for immediate termination of this Agreement, in which case Agent shall be liable for any damages incurred by Client in connection with such breach.</w:t>
      </w:r>
    </w:p>
    <w:p>
      <w:pPr>
        <w:spacing w:after="160"/>
        <w:jc w:val="both"/>
      </w:pPr>
      <w:r>
        <w:rPr>
          <w:b/>
        </w:rPr>
        <w:t xml:space="preserve">Duty of Conduct by Agent for Client. </w:t>
      </w:r>
      <w:r>
        <w:t>Agent acknowledges that it has a duty to act in the best interests of the Client throughout the Term, and it shall observe the highest standards of conduct in connection with its actions on behalf of the Client. Agent agrees to disclose to Client any affiliation between Agent and any vendor or professional who provides services to Client. Agent further acknowledges that it is acting as the representative of Client in dealings with third parties, and represents that any rebates, discounts, and any other reductions in the cost of supplies and services obtained for the benefit of Client shall be applied against the amounts due from Client to such third party. Acceptance by Agent of any payment in violation of this Section shall be a breach of Agent's duty to Client under this Agreement entitling Client to immediate termination of this Agreement, in which case Agent shall be liable for any damages incurred by Client in connection with such breach.</w:t>
      </w:r>
    </w:p>
    <w:p>
      <w:pPr>
        <w:spacing w:after="160"/>
        <w:jc w:val="both"/>
      </w:pPr>
      <w:r>
        <w:t>[Signature Page Follows]</w:t>
        <w:br w:type="page"/>
      </w:r>
    </w:p>
    <w:p>
      <w:pPr>
        <w:spacing w:after="160"/>
        <w:jc w:val="center"/>
      </w:pPr>
      <w:r>
        <w:t>IN WITNESS HEREOF, the Parties do hereby enter into this Agreement, as of the date first set forth above.</w:t>
      </w:r>
    </w:p>
    <w:p>
      <w:pPr>
        <w:spacing w:before="200" w:after="40"/>
        <w:jc w:val="center"/>
      </w:pPr>
      <w:r>
        <w:rPr>
          <w:b/>
        </w:rPr>
        <w:t>CAMELOT PROPERTY MANAGEMENT SERVICE CORP.</w:t>
      </w:r>
    </w:p>
    <w:p>
      <w:pPr>
        <w:spacing w:after="40"/>
        <w:jc w:val="center"/>
      </w:pPr>
      <w:r>
        <w:t>By: ___________________________</w:t>
      </w:r>
    </w:p>
    <w:p>
      <w:pPr>
        <w:spacing w:after="160"/>
        <w:jc w:val="center"/>
      </w:pPr>
      <w:r>
        <w:t>David Goldoff, President</w:t>
      </w:r>
    </w:p>
    <w:p>
      <w:pPr>
        <w:jc w:val="center"/>
      </w:pPr>
      <w:r>
        <w:rPr>
          <w:b w:val="0"/>
        </w:rPr>
        <w:t>Date:</w:t>
      </w:r>
    </w:p>
    <w:p>
      <w:pPr>
        <w:pBdr>
          <w:bottom w:val="single" w:sz="6" w:space="6" w:color="C9A55C"/>
        </w:pBdr>
        <w:jc w:val="center"/>
      </w:pPr>
    </w:p>
    <w:p>
      <w:pPr>
        <w:spacing w:before="200" w:after="40"/>
        <w:jc w:val="center"/>
      </w:pPr>
      <w:r>
        <w:rPr>
          <w:b/>
        </w:rPr>
        <w:t>[CLIENT ENTITY NAME]</w:t>
      </w:r>
    </w:p>
    <w:p>
      <w:pPr>
        <w:spacing w:after="40"/>
        <w:jc w:val="center"/>
      </w:pPr>
      <w:r>
        <w:t>By: ______________________</w:t>
      </w:r>
    </w:p>
    <w:p>
      <w:pPr>
        <w:spacing w:after="40"/>
        <w:jc w:val="center"/>
      </w:pPr>
      <w:r>
        <w:t>Name:</w:t>
      </w:r>
    </w:p>
    <w:p>
      <w:pPr>
        <w:spacing w:after="40"/>
        <w:jc w:val="center"/>
      </w:pPr>
      <w:r>
        <w:t>Title:</w:t>
      </w:r>
    </w:p>
    <w:p>
      <w:pPr>
        <w:jc w:val="center"/>
      </w:pPr>
      <w:r>
        <w:rPr>
          <w:b w:val="0"/>
        </w:rPr>
        <w:t>Date:</w:t>
      </w:r>
    </w:p>
    <w:p>
      <w:r>
        <w:br w:type="page"/>
      </w:r>
    </w:p>
    <w:p>
      <w:pPr>
        <w:spacing w:after="120"/>
        <w:pBdr>
          <w:bottom w:val="single" w:sz="4" w:space="4" w:color="C9A227"/>
        </w:pBdr>
      </w:pPr>
      <w:r>
        <w:rPr>
          <w:rFonts w:ascii="Georgia" w:hAnsi="Georgia"/>
          <w:b/>
          <w:color w:val="162B4D"/>
          <w:sz w:val="26"/>
        </w:rPr>
        <w:t>SCHEDULE A — ANCILLARY FEE SCHEDULE</w:t>
      </w:r>
    </w:p>
    <w:p>
      <w:pPr>
        <w:spacing w:after="200"/>
      </w:pPr>
      <w:r>
        <w:rPr>
          <w:i/>
          <w:sz w:val="19"/>
        </w:rPr>
        <w:t>These fees are one-time, or based on occurrence and need, and are billed in addition to the Basic Compensation set forth in the Agreement.</w:t>
      </w:r>
    </w:p>
    <w:tbl>
      <w:tblPr>
        <w:tblW w:type="auto" w:w="0"/>
        <w:tblLayout w:type="fixed"/>
        <w:tblLook w:firstColumn="1" w:firstRow="1" w:lastColumn="0" w:lastRow="0" w:noHBand="0" w:noVBand="1" w:val="04A0"/>
      </w:tblPr>
      <w:tblGrid>
        <w:gridCol w:w="7056"/>
        <w:gridCol w:w="2736"/>
      </w:tblGrid>
      <w:tr>
        <w:tc>
          <w:tcPr>
            <w:tcW w:type="dxa" w:w="7056"/>
            <w:shd w:val="clear" w:color="auto" w:fill="162B4D"/>
            <w:vAlign w:val="center"/>
          </w:tcPr>
          <w:p>
            <w:r>
              <w:rPr>
                <w:b/>
                <w:color w:val="FFFFFF"/>
                <w:sz w:val="20"/>
              </w:rPr>
              <w:t>Service</w:t>
            </w:r>
          </w:p>
        </w:tc>
        <w:tc>
          <w:tcPr>
            <w:tcW w:type="dxa" w:w="2736"/>
            <w:shd w:val="clear" w:color="auto" w:fill="162B4D"/>
            <w:vAlign w:val="center"/>
          </w:tcPr>
          <w:p>
            <w:r>
              <w:rPr>
                <w:b/>
                <w:color w:val="FFFFFF"/>
                <w:sz w:val="20"/>
              </w:rPr>
              <w:t>Fee</w:t>
            </w:r>
          </w:p>
        </w:tc>
      </w:tr>
      <w:tr>
        <w:tc>
          <w:tcPr>
            <w:tcW w:type="dxa" w:w="7056"/>
          </w:tcPr>
          <w:p>
            <w:r>
              <w:rPr>
                <w:sz w:val="19"/>
              </w:rPr>
              <w:t>Property or Project Manager (Emergency or Supervision Services)</w:t>
            </w:r>
          </w:p>
        </w:tc>
        <w:tc>
          <w:tcPr>
            <w:tcW w:type="dxa" w:w="2736"/>
          </w:tcPr>
          <w:p>
            <w:r>
              <w:rPr>
                <w:sz w:val="19"/>
              </w:rPr>
              <w:t>$150.00 per hour</w:t>
            </w:r>
          </w:p>
        </w:tc>
      </w:tr>
      <w:tr>
        <w:tc>
          <w:tcPr>
            <w:tcW w:type="dxa" w:w="7056"/>
          </w:tcPr>
          <w:p>
            <w:r>
              <w:rPr>
                <w:sz w:val="19"/>
              </w:rPr>
              <w:t>Travel</w:t>
            </w:r>
          </w:p>
        </w:tc>
        <w:tc>
          <w:tcPr>
            <w:tcW w:type="dxa" w:w="2736"/>
          </w:tcPr>
          <w:p>
            <w:r>
              <w:rPr>
                <w:sz w:val="19"/>
              </w:rPr>
              <w:t>Billed by receipt</w:t>
            </w:r>
          </w:p>
        </w:tc>
      </w:tr>
      <w:tr>
        <w:tc>
          <w:tcPr>
            <w:tcW w:type="dxa" w:w="7056"/>
          </w:tcPr>
          <w:p>
            <w:r>
              <w:rPr>
                <w:sz w:val="19"/>
              </w:rPr>
              <w:t>Sales &amp; Leasing</w:t>
            </w:r>
          </w:p>
        </w:tc>
        <w:tc>
          <w:tcPr>
            <w:tcW w:type="dxa" w:w="2736"/>
          </w:tcPr>
          <w:p>
            <w:r>
              <w:rPr>
                <w:sz w:val="19"/>
              </w:rPr>
              <w:t>Per separate brokerage agreement</w:t>
            </w:r>
          </w:p>
        </w:tc>
      </w:tr>
      <w:tr>
        <w:tc>
          <w:tcPr>
            <w:tcW w:type="dxa" w:w="7056"/>
          </w:tcPr>
          <w:p>
            <w:r>
              <w:rPr>
                <w:sz w:val="19"/>
              </w:rPr>
              <w:t>Cleaning, Ordinary Repairs &amp; Maintenance</w:t>
            </w:r>
          </w:p>
        </w:tc>
        <w:tc>
          <w:tcPr>
            <w:tcW w:type="dxa" w:w="2736"/>
          </w:tcPr>
          <w:p>
            <w:r>
              <w:rPr>
                <w:sz w:val="19"/>
              </w:rPr>
              <w:t>$30.00 per hour</w:t>
            </w:r>
          </w:p>
        </w:tc>
      </w:tr>
      <w:tr>
        <w:tc>
          <w:tcPr>
            <w:tcW w:type="dxa" w:w="7056"/>
          </w:tcPr>
          <w:p>
            <w:r>
              <w:rPr>
                <w:sz w:val="19"/>
              </w:rPr>
              <w:t>Extraordinary Repairs (over $5,000 per repair)</w:t>
            </w:r>
          </w:p>
        </w:tc>
        <w:tc>
          <w:tcPr>
            <w:tcW w:type="dxa" w:w="2736"/>
          </w:tcPr>
          <w:p>
            <w:r>
              <w:rPr>
                <w:sz w:val="19"/>
              </w:rPr>
              <w:t>Subject to separate project-manager fees &amp; markups per management agreement</w:t>
            </w:r>
          </w:p>
        </w:tc>
      </w:tr>
      <w:tr>
        <w:tc>
          <w:tcPr>
            <w:tcW w:type="dxa" w:w="7056"/>
          </w:tcPr>
          <w:p>
            <w:r>
              <w:rPr>
                <w:sz w:val="19"/>
              </w:rPr>
              <w:t>Locksmith</w:t>
            </w:r>
          </w:p>
        </w:tc>
        <w:tc>
          <w:tcPr>
            <w:tcW w:type="dxa" w:w="2736"/>
          </w:tcPr>
          <w:p>
            <w:r>
              <w:rPr>
                <w:sz w:val="19"/>
              </w:rPr>
              <w:t>$150.00 per hour + materials</w:t>
            </w:r>
          </w:p>
        </w:tc>
      </w:tr>
      <w:tr>
        <w:tc>
          <w:tcPr>
            <w:tcW w:type="dxa" w:w="7056"/>
          </w:tcPr>
          <w:p>
            <w:r>
              <w:rPr>
                <w:sz w:val="19"/>
              </w:rPr>
              <w:t>Supplies &amp; Material Markups</w:t>
            </w:r>
          </w:p>
        </w:tc>
        <w:tc>
          <w:tcPr>
            <w:tcW w:type="dxa" w:w="2736"/>
          </w:tcPr>
          <w:p>
            <w:r>
              <w:rPr>
                <w:sz w:val="19"/>
              </w:rPr>
              <w:t>10%–15% (at discretion)</w:t>
            </w:r>
          </w:p>
        </w:tc>
      </w:tr>
      <w:tr>
        <w:tc>
          <w:tcPr>
            <w:tcW w:type="dxa" w:w="7056"/>
          </w:tcPr>
          <w:p>
            <w:r>
              <w:rPr>
                <w:sz w:val="19"/>
              </w:rPr>
              <w:t>Court Appearance or Deposition</w:t>
            </w:r>
          </w:p>
        </w:tc>
        <w:tc>
          <w:tcPr>
            <w:tcW w:type="dxa" w:w="2736"/>
          </w:tcPr>
          <w:p>
            <w:r>
              <w:rPr>
                <w:sz w:val="19"/>
              </w:rPr>
              <w:t>$150.00 per hour</w:t>
            </w:r>
          </w:p>
        </w:tc>
      </w:tr>
      <w:tr>
        <w:tc>
          <w:tcPr>
            <w:tcW w:type="dxa" w:w="7056"/>
          </w:tcPr>
          <w:p>
            <w:r>
              <w:rPr>
                <w:sz w:val="19"/>
              </w:rPr>
              <w:t>RPIE Filing (Real Property Income &amp; Expense)</w:t>
            </w:r>
          </w:p>
        </w:tc>
        <w:tc>
          <w:tcPr>
            <w:tcW w:type="dxa" w:w="2736"/>
          </w:tcPr>
          <w:p>
            <w:r>
              <w:rPr>
                <w:sz w:val="19"/>
              </w:rPr>
              <w:t>$200.00 per filing</w:t>
            </w:r>
          </w:p>
        </w:tc>
      </w:tr>
      <w:tr>
        <w:tc>
          <w:tcPr>
            <w:tcW w:type="dxa" w:w="7056"/>
          </w:tcPr>
          <w:p>
            <w:r>
              <w:rPr>
                <w:sz w:val="19"/>
              </w:rPr>
              <w:t>CCTA (Cooperative/Condominium Tax Abatement)</w:t>
            </w:r>
          </w:p>
        </w:tc>
        <w:tc>
          <w:tcPr>
            <w:tcW w:type="dxa" w:w="2736"/>
          </w:tcPr>
          <w:p>
            <w:r>
              <w:rPr>
                <w:sz w:val="19"/>
              </w:rPr>
              <w:t>$200.00 per building filing</w:t>
            </w:r>
          </w:p>
        </w:tc>
      </w:tr>
      <w:tr>
        <w:tc>
          <w:tcPr>
            <w:tcW w:type="dxa" w:w="7056"/>
          </w:tcPr>
          <w:p>
            <w:r>
              <w:rPr>
                <w:sz w:val="19"/>
              </w:rPr>
              <w:t>Co-op or Condo Closing (inside management offices)</w:t>
            </w:r>
          </w:p>
        </w:tc>
        <w:tc>
          <w:tcPr>
            <w:tcW w:type="dxa" w:w="2736"/>
          </w:tcPr>
          <w:p>
            <w:r>
              <w:rPr>
                <w:sz w:val="19"/>
              </w:rPr>
              <w:t>$1,000.00 flat fee</w:t>
            </w:r>
          </w:p>
        </w:tc>
      </w:tr>
      <w:tr>
        <w:tc>
          <w:tcPr>
            <w:tcW w:type="dxa" w:w="7056"/>
          </w:tcPr>
          <w:p>
            <w:r>
              <w:rPr>
                <w:sz w:val="19"/>
              </w:rPr>
              <w:t>Audit Review and Assistance</w:t>
            </w:r>
          </w:p>
        </w:tc>
        <w:tc>
          <w:tcPr>
            <w:tcW w:type="dxa" w:w="2736"/>
          </w:tcPr>
          <w:p>
            <w:r>
              <w:rPr>
                <w:sz w:val="19"/>
              </w:rPr>
              <w:t>$100.00 per hour</w:t>
            </w:r>
          </w:p>
        </w:tc>
      </w:tr>
      <w:tr>
        <w:tc>
          <w:tcPr>
            <w:tcW w:type="dxa" w:w="7056"/>
          </w:tcPr>
          <w:p>
            <w:r>
              <w:rPr>
                <w:sz w:val="19"/>
              </w:rPr>
              <w:t>Monthly Administrative Fee (online cloud storage &amp; web fee)</w:t>
            </w:r>
          </w:p>
        </w:tc>
        <w:tc>
          <w:tcPr>
            <w:tcW w:type="dxa" w:w="2736"/>
          </w:tcPr>
          <w:p>
            <w:r>
              <w:rPr>
                <w:sz w:val="19"/>
              </w:rPr>
              <w:t>$50.00 per month</w:t>
            </w:r>
          </w:p>
        </w:tc>
      </w:tr>
      <w:tr>
        <w:tc>
          <w:tcPr>
            <w:tcW w:type="dxa" w:w="7056"/>
          </w:tcPr>
          <w:p>
            <w:r>
              <w:rPr>
                <w:sz w:val="19"/>
              </w:rPr>
              <w:t>Alteration Agreement Review and Submittal</w:t>
            </w:r>
          </w:p>
        </w:tc>
        <w:tc>
          <w:tcPr>
            <w:tcW w:type="dxa" w:w="2736"/>
          </w:tcPr>
          <w:p>
            <w:r>
              <w:rPr>
                <w:sz w:val="19"/>
              </w:rPr>
              <w:t>$200.00, or 10% of alteration cost over $5,000</w:t>
            </w:r>
          </w:p>
        </w:tc>
      </w:tr>
      <w:tr>
        <w:tc>
          <w:tcPr>
            <w:tcW w:type="dxa" w:w="7056"/>
          </w:tcPr>
          <w:p>
            <w:r>
              <w:rPr>
                <w:sz w:val="19"/>
              </w:rPr>
              <w:t>Sales or Rental Package Review</w:t>
            </w:r>
          </w:p>
        </w:tc>
        <w:tc>
          <w:tcPr>
            <w:tcW w:type="dxa" w:w="2736"/>
          </w:tcPr>
          <w:p>
            <w:r>
              <w:rPr>
                <w:sz w:val="19"/>
              </w:rPr>
              <w:t>$500.00 per package</w:t>
            </w:r>
          </w:p>
        </w:tc>
      </w:tr>
      <w:tr>
        <w:tc>
          <w:tcPr>
            <w:tcW w:type="dxa" w:w="7056"/>
          </w:tcPr>
          <w:p>
            <w:r>
              <w:rPr>
                <w:sz w:val="19"/>
              </w:rPr>
              <w:t>HPD Filing Fee</w:t>
            </w:r>
          </w:p>
        </w:tc>
        <w:tc>
          <w:tcPr>
            <w:tcW w:type="dxa" w:w="2736"/>
          </w:tcPr>
          <w:p>
            <w:r>
              <w:rPr>
                <w:sz w:val="19"/>
              </w:rPr>
              <w:t>$50.00 (once per year)</w:t>
            </w:r>
          </w:p>
        </w:tc>
      </w:tr>
      <w:tr>
        <w:tc>
          <w:tcPr>
            <w:tcW w:type="dxa" w:w="7056"/>
          </w:tcPr>
          <w:p>
            <w:r>
              <w:rPr>
                <w:sz w:val="19"/>
              </w:rPr>
              <w:t>Emergency Site Plan Creation &amp; Submittal</w:t>
            </w:r>
          </w:p>
        </w:tc>
        <w:tc>
          <w:tcPr>
            <w:tcW w:type="dxa" w:w="2736"/>
          </w:tcPr>
          <w:p>
            <w:r>
              <w:rPr>
                <w:sz w:val="19"/>
              </w:rPr>
              <w:t>$175.00</w:t>
            </w:r>
          </w:p>
        </w:tc>
      </w:tr>
      <w:tr>
        <w:tc>
          <w:tcPr>
            <w:tcW w:type="dxa" w:w="7056"/>
          </w:tcPr>
          <w:p>
            <w:r>
              <w:rPr>
                <w:sz w:val="19"/>
              </w:rPr>
              <w:t>Bank Questionnaire Fee</w:t>
            </w:r>
          </w:p>
        </w:tc>
        <w:tc>
          <w:tcPr>
            <w:tcW w:type="dxa" w:w="2736"/>
          </w:tcPr>
          <w:p>
            <w:r>
              <w:rPr>
                <w:sz w:val="19"/>
              </w:rPr>
              <w:t>$200.00</w:t>
            </w:r>
          </w:p>
        </w:tc>
      </w:tr>
    </w:tbl>
    <w:p>
      <w:pPr>
        <w:spacing w:before="240"/>
      </w:pPr>
      <w:r>
        <w:rPr>
          <w:i/>
          <w:color w:val="666666"/>
          <w:sz w:val="19"/>
        </w:rPr>
        <w:t>Per-building custom rate overrides, if any, should be noted here: [CUSTOM RATE NOTES]</w:t>
      </w:r>
    </w:p>
    <w:p>
      <w:r>
        <w:br w:type="page"/>
      </w:r>
    </w:p>
    <w:p>
      <w:pPr>
        <w:spacing w:before="280" w:after="120"/>
        <w:pBdr>
          <w:bottom w:val="single" w:sz="4" w:space="4" w:color="C9A227"/>
        </w:pBdr>
      </w:pPr>
      <w:r>
        <w:rPr>
          <w:rFonts w:ascii="Georgia" w:hAnsi="Georgia"/>
          <w:b/>
          <w:color w:val="162B4D"/>
          <w:sz w:val="26"/>
        </w:rPr>
        <w:t>SCHEDULE B — CAMELOT'S INSURANCE COVERAGE</w:t>
      </w:r>
    </w:p>
    <w:p>
      <w:pPr>
        <w:spacing w:after="200"/>
      </w:pPr>
      <w:r>
        <w:rPr>
          <w:sz w:val="19"/>
        </w:rPr>
        <w:t>For the Client's and Board's information, Camelot Property Management Services Corp. DBA Camelot Realty Group carries the following lines of insurance as a company. This summary is provided for general informational purposes — it is not a Certificate of Insurance and does not modify, replace, or expand any actual policy. All coverage remains subject to the full terms, conditions, exclusions, and limits of the underlying policies. A formal Certificate of Insurance is available upon request.</w:t>
      </w:r>
    </w:p>
    <w:tbl>
      <w:tblPr>
        <w:tblW w:type="auto" w:w="0"/>
        <w:tblLayout w:type="fixed"/>
        <w:tblLook w:firstColumn="1" w:firstRow="1" w:lastColumn="0" w:lastRow="0" w:noHBand="0" w:noVBand="1" w:val="04A0"/>
      </w:tblPr>
      <w:tblGrid>
        <w:gridCol w:w="1872"/>
        <w:gridCol w:w="2520"/>
        <w:gridCol w:w="1512"/>
        <w:gridCol w:w="2448"/>
        <w:gridCol w:w="1584"/>
      </w:tblGrid>
      <w:tr>
        <w:tc>
          <w:tcPr>
            <w:tcW w:type="dxa" w:w="1872"/>
            <w:shd w:val="clear" w:color="auto" w:fill="162B4D"/>
            <w:vAlign w:val="center"/>
          </w:tcPr>
          <w:p>
            <w:r>
              <w:rPr>
                <w:b/>
                <w:color w:val="FFFFFF"/>
                <w:sz w:val="18"/>
              </w:rPr>
              <w:t>Coverage</w:t>
            </w:r>
          </w:p>
        </w:tc>
        <w:tc>
          <w:tcPr>
            <w:tcW w:type="dxa" w:w="2520"/>
            <w:shd w:val="clear" w:color="auto" w:fill="162B4D"/>
            <w:vAlign w:val="center"/>
          </w:tcPr>
          <w:p>
            <w:r>
              <w:rPr>
                <w:b/>
                <w:color w:val="FFFFFF"/>
                <w:sz w:val="18"/>
              </w:rPr>
              <w:t>Carrier</w:t>
            </w:r>
          </w:p>
        </w:tc>
        <w:tc>
          <w:tcPr>
            <w:tcW w:type="dxa" w:w="1512"/>
            <w:shd w:val="clear" w:color="auto" w:fill="162B4D"/>
            <w:vAlign w:val="center"/>
          </w:tcPr>
          <w:p>
            <w:r>
              <w:rPr>
                <w:b/>
                <w:color w:val="FFFFFF"/>
                <w:sz w:val="18"/>
              </w:rPr>
              <w:t>Policy #</w:t>
            </w:r>
          </w:p>
        </w:tc>
        <w:tc>
          <w:tcPr>
            <w:tcW w:type="dxa" w:w="2448"/>
            <w:shd w:val="clear" w:color="auto" w:fill="162B4D"/>
            <w:vAlign w:val="center"/>
          </w:tcPr>
          <w:p>
            <w:r>
              <w:rPr>
                <w:b/>
                <w:color w:val="FFFFFF"/>
                <w:sz w:val="18"/>
              </w:rPr>
              <w:t>Limits</w:t>
            </w:r>
          </w:p>
        </w:tc>
        <w:tc>
          <w:tcPr>
            <w:tcW w:type="dxa" w:w="1584"/>
            <w:shd w:val="clear" w:color="auto" w:fill="162B4D"/>
            <w:vAlign w:val="center"/>
          </w:tcPr>
          <w:p>
            <w:r>
              <w:rPr>
                <w:b/>
                <w:color w:val="FFFFFF"/>
                <w:sz w:val="18"/>
              </w:rPr>
              <w:t>Term</w:t>
            </w:r>
          </w:p>
        </w:tc>
      </w:tr>
      <w:tr>
        <w:tc>
          <w:tcPr>
            <w:tcW w:type="dxa" w:w="1872"/>
            <w:vAlign w:val="center"/>
          </w:tcPr>
          <w:p>
            <w:r>
              <w:rPr>
                <w:sz w:val="16"/>
              </w:rPr>
              <w:t>Professional Liability (E&amp;O)</w:t>
            </w:r>
          </w:p>
        </w:tc>
        <w:tc>
          <w:tcPr>
            <w:tcW w:type="dxa" w:w="2520"/>
            <w:vAlign w:val="center"/>
          </w:tcPr>
          <w:p>
            <w:r>
              <w:rPr>
                <w:sz w:val="16"/>
              </w:rPr>
              <w:t>Underwriters at Lloyd's, London (Hiscox)</w:t>
            </w:r>
          </w:p>
        </w:tc>
        <w:tc>
          <w:tcPr>
            <w:tcW w:type="dxa" w:w="1512"/>
            <w:vAlign w:val="center"/>
          </w:tcPr>
          <w:p>
            <w:r>
              <w:rPr>
                <w:sz w:val="16"/>
              </w:rPr>
              <w:t>MPL4387044.26</w:t>
            </w:r>
          </w:p>
        </w:tc>
        <w:tc>
          <w:tcPr>
            <w:tcW w:type="dxa" w:w="2448"/>
            <w:vAlign w:val="center"/>
          </w:tcPr>
          <w:p>
            <w:r>
              <w:rPr>
                <w:sz w:val="16"/>
              </w:rPr>
              <w:t>$1,000,000 each claim / $1,000,000 aggregate</w:t>
            </w:r>
          </w:p>
        </w:tc>
        <w:tc>
          <w:tcPr>
            <w:tcW w:type="dxa" w:w="1584"/>
            <w:vAlign w:val="center"/>
          </w:tcPr>
          <w:p>
            <w:r>
              <w:rPr>
                <w:sz w:val="16"/>
              </w:rPr>
              <w:t>2/3/2026 – 2/3/2027</w:t>
            </w:r>
          </w:p>
        </w:tc>
      </w:tr>
      <w:tr>
        <w:tc>
          <w:tcPr>
            <w:tcW w:type="dxa" w:w="1872"/>
            <w:vAlign w:val="center"/>
          </w:tcPr>
          <w:p>
            <w:r>
              <w:rPr>
                <w:sz w:val="16"/>
              </w:rPr>
              <w:t>Employment Practices Liability (EPLI)</w:t>
            </w:r>
          </w:p>
        </w:tc>
        <w:tc>
          <w:tcPr>
            <w:tcW w:type="dxa" w:w="2520"/>
            <w:vAlign w:val="center"/>
          </w:tcPr>
          <w:p>
            <w:r>
              <w:rPr>
                <w:sz w:val="16"/>
              </w:rPr>
              <w:t>Counterpart, Inc. (quota share)</w:t>
            </w:r>
          </w:p>
        </w:tc>
        <w:tc>
          <w:tcPr>
            <w:tcW w:type="dxa" w:w="1512"/>
            <w:vAlign w:val="center"/>
          </w:tcPr>
          <w:p>
            <w:r>
              <w:rPr>
                <w:sz w:val="16"/>
              </w:rPr>
              <w:t>CML-S4ZASV4-P0326</w:t>
            </w:r>
          </w:p>
        </w:tc>
        <w:tc>
          <w:tcPr>
            <w:tcW w:type="dxa" w:w="2448"/>
            <w:vAlign w:val="center"/>
          </w:tcPr>
          <w:p>
            <w:r>
              <w:rPr>
                <w:sz w:val="16"/>
              </w:rPr>
              <w:t>$1,000,000 maximum limit of liability</w:t>
            </w:r>
          </w:p>
        </w:tc>
        <w:tc>
          <w:tcPr>
            <w:tcW w:type="dxa" w:w="1584"/>
            <w:vAlign w:val="center"/>
          </w:tcPr>
          <w:p>
            <w:r>
              <w:rPr>
                <w:sz w:val="16"/>
              </w:rPr>
              <w:t>3/20/2026 – 3/20/2027</w:t>
            </w:r>
          </w:p>
        </w:tc>
      </w:tr>
      <w:tr>
        <w:tc>
          <w:tcPr>
            <w:tcW w:type="dxa" w:w="1872"/>
            <w:vAlign w:val="center"/>
          </w:tcPr>
          <w:p>
            <w:r>
              <w:rPr>
                <w:sz w:val="16"/>
              </w:rPr>
              <w:t>General Liability (Businessowners Policy)</w:t>
            </w:r>
          </w:p>
        </w:tc>
        <w:tc>
          <w:tcPr>
            <w:tcW w:type="dxa" w:w="2520"/>
            <w:vAlign w:val="center"/>
          </w:tcPr>
          <w:p>
            <w:r>
              <w:rPr>
                <w:sz w:val="16"/>
              </w:rPr>
              <w:t>Accredited Surety and Casualty Company</w:t>
            </w:r>
          </w:p>
        </w:tc>
        <w:tc>
          <w:tcPr>
            <w:tcW w:type="dxa" w:w="1512"/>
            <w:vAlign w:val="center"/>
          </w:tcPr>
          <w:p>
            <w:r>
              <w:rPr>
                <w:sz w:val="16"/>
              </w:rPr>
              <w:t>1ABPNY05135259201</w:t>
            </w:r>
          </w:p>
        </w:tc>
        <w:tc>
          <w:tcPr>
            <w:tcW w:type="dxa" w:w="2448"/>
            <w:vAlign w:val="center"/>
          </w:tcPr>
          <w:p>
            <w:r>
              <w:rPr>
                <w:sz w:val="16"/>
              </w:rPr>
              <w:t>$1,000,000 each occurrence / $2,000,000 general aggregate</w:t>
            </w:r>
          </w:p>
        </w:tc>
        <w:tc>
          <w:tcPr>
            <w:tcW w:type="dxa" w:w="1584"/>
            <w:vAlign w:val="center"/>
          </w:tcPr>
          <w:p>
            <w:r>
              <w:rPr>
                <w:sz w:val="16"/>
              </w:rPr>
              <w:t>11/1/2024 – 11/1/2025 *</w:t>
            </w:r>
          </w:p>
        </w:tc>
      </w:tr>
      <w:tr>
        <w:tc>
          <w:tcPr>
            <w:tcW w:type="dxa" w:w="1872"/>
            <w:vAlign w:val="center"/>
          </w:tcPr>
          <w:p>
            <w:r>
              <w:rPr>
                <w:sz w:val="16"/>
              </w:rPr>
              <w:t>Fidelity / Employee Dishonesty Bond</w:t>
            </w:r>
          </w:p>
        </w:tc>
        <w:tc>
          <w:tcPr>
            <w:tcW w:type="dxa" w:w="2520"/>
            <w:vAlign w:val="center"/>
          </w:tcPr>
          <w:p>
            <w:r>
              <w:rPr>
                <w:sz w:val="16"/>
              </w:rPr>
              <w:t>The Ohio Casualty Insurance Company (Liberty Mutual)</w:t>
            </w:r>
          </w:p>
        </w:tc>
        <w:tc>
          <w:tcPr>
            <w:tcW w:type="dxa" w:w="1512"/>
            <w:vAlign w:val="center"/>
          </w:tcPr>
          <w:p>
            <w:r>
              <w:rPr>
                <w:sz w:val="16"/>
              </w:rPr>
              <w:t>948949334</w:t>
            </w:r>
          </w:p>
        </w:tc>
        <w:tc>
          <w:tcPr>
            <w:tcW w:type="dxa" w:w="2448"/>
            <w:vAlign w:val="center"/>
          </w:tcPr>
          <w:p>
            <w:r>
              <w:rPr>
                <w:sz w:val="16"/>
              </w:rPr>
              <w:t>$1,000,000</w:t>
            </w:r>
          </w:p>
        </w:tc>
        <w:tc>
          <w:tcPr>
            <w:tcW w:type="dxa" w:w="1584"/>
            <w:vAlign w:val="center"/>
          </w:tcPr>
          <w:p>
            <w:r>
              <w:rPr>
                <w:sz w:val="16"/>
              </w:rPr>
              <w:t>Eff. 5/29/2025, continuous</w:t>
            </w:r>
          </w:p>
        </w:tc>
      </w:tr>
      <w:tr>
        <w:tc>
          <w:tcPr>
            <w:tcW w:type="dxa" w:w="1872"/>
            <w:vAlign w:val="center"/>
          </w:tcPr>
          <w:p>
            <w:r>
              <w:rPr>
                <w:sz w:val="16"/>
              </w:rPr>
              <w:t>Cyber Liability</w:t>
            </w:r>
          </w:p>
        </w:tc>
        <w:tc>
          <w:tcPr>
            <w:tcW w:type="dxa" w:w="2520"/>
            <w:vAlign w:val="center"/>
          </w:tcPr>
          <w:p>
            <w:r>
              <w:rPr>
                <w:sz w:val="16"/>
              </w:rPr>
              <w:t>Technology Insurance Company (AmTrust)</w:t>
            </w:r>
          </w:p>
        </w:tc>
        <w:tc>
          <w:tcPr>
            <w:tcW w:type="dxa" w:w="1512"/>
            <w:vAlign w:val="center"/>
          </w:tcPr>
          <w:p>
            <w:r>
              <w:rPr>
                <w:sz w:val="16"/>
              </w:rPr>
              <w:t>TCL1741067 01</w:t>
            </w:r>
          </w:p>
        </w:tc>
        <w:tc>
          <w:tcPr>
            <w:tcW w:type="dxa" w:w="2448"/>
            <w:vAlign w:val="center"/>
          </w:tcPr>
          <w:p>
            <w:r>
              <w:rPr>
                <w:sz w:val="16"/>
              </w:rPr>
              <w:t>$1,000,000 aggregate</w:t>
            </w:r>
          </w:p>
        </w:tc>
        <w:tc>
          <w:tcPr>
            <w:tcW w:type="dxa" w:w="1584"/>
            <w:vAlign w:val="center"/>
          </w:tcPr>
          <w:p>
            <w:r>
              <w:rPr>
                <w:sz w:val="16"/>
              </w:rPr>
              <w:t>~3/18/2025 – 3/18/2026 *</w:t>
            </w:r>
          </w:p>
        </w:tc>
      </w:tr>
    </w:tbl>
    <w:p>
      <w:pPr>
        <w:spacing w:before="200"/>
        <w:shd w:val="clear" w:color="auto" w:fill="FBEAEA"/>
      </w:pPr>
      <w:r>
        <w:rPr>
          <w:i/>
          <w:color w:val="A32A2A"/>
          <w:sz w:val="17"/>
        </w:rPr>
        <w:t>* General Liability and Cyber Liability are shown as reflected in the most recent policy documents on file. Confirm current renewal status with the broker before circulating this exhibit externally.</w:t>
      </w:r>
    </w:p>
    <w:sectPr w:rsidR="00FC693F" w:rsidRPr="0006063C" w:rsidSect="00034616">
      <w:headerReference w:type="default" r:id="rId9"/>
      <w:footerReference w:type="default" r:id="rId10"/>
      <w:pgSz w:w="12240" w:h="15840"/>
      <w:pgMar w:top="1872" w:right="1296" w:bottom="158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jc w:val="center"/>
      <w:pBdr>
        <w:top w:val="single" w:sz="6" w:space="4" w:color="C9A227"/>
      </w:pBdr>
    </w:pPr>
    <w:r>
      <w:rPr>
        <w:rFonts w:ascii="Georgia" w:hAnsi="Georgia"/>
        <w:color w:val="666666"/>
        <w:sz w:val="15"/>
      </w:rPr>
      <w:t>57 West 57th Street, Suite 410, New York, NY 10019   ·   (212) 206-9939   ·   info@camelot.nyc   ·   www.camelot.nyc</w:t>
    </w:r>
  </w:p>
  <w:p>
    <w:pPr>
      <w:jc w:val="center"/>
    </w:pPr>
    <w:r>
      <w:rPr>
        <w:color w:val="999999"/>
        <w:sz w:val="14"/>
      </w:rPr>
      <w:t xml:space="preserve">CONFIDENTIAL — TEMPLATE FOR INTERNAL USE  ·  Page </w:t>
    </w:r>
    <w:r>
      <w:fldChar w:fldCharType="begin"/>
      <w:instrText xml:space="preserve"> PAGE </w:instrText>
      <w:fldChar w:fldCharType="separate"/>
      <w:fldChar w:fldCharType="end"/>
    </w:r>
    <w:r>
      <w:rPr>
        <w:color w:val="999999"/>
        <w:sz w:val="14"/>
      </w:rP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864"/>
      <w:gridCol w:w="5760"/>
    </w:tblGrid>
    <w:tr>
      <w:tc>
        <w:tcPr>
          <w:tcW w:type="dxa" w:w="864"/>
          <w:vAlign w:val="center"/>
        </w:tcPr>
        <w:p>
          <w:pPr>
            <w:jc w:val="center"/>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camelot-gold-logo.png"/>
                        <pic:cNvPicPr/>
                      </pic:nvPicPr>
                      <pic:blipFill>
                        <a:blip r:embed="rId1"/>
                        <a:stretch>
                          <a:fillRect/>
                        </a:stretch>
                      </pic:blipFill>
                      <pic:spPr>
                        <a:xfrm>
                          <a:off x="0" y="0"/>
                          <a:ext cx="384048" cy="384048"/>
                        </a:xfrm>
                        <a:prstGeom prst="rect"/>
                      </pic:spPr>
                    </pic:pic>
                  </a:graphicData>
                </a:graphic>
              </wp:inline>
            </w:drawing>
          </w:r>
        </w:p>
      </w:tc>
      <w:tc>
        <w:tcPr>
          <w:tcW w:type="dxa" w:w="5760"/>
          <w:vAlign w:val="center"/>
        </w:tcPr>
        <w:p>
          <w:pPr>
            <w:spacing w:after="20"/>
            <w:jc w:val="left"/>
          </w:pPr>
          <w:r>
            <w:rPr>
              <w:rFonts w:ascii="Georgia" w:hAnsi="Georgia"/>
              <w:b/>
              <w:color w:val="162B4D"/>
              <w:sz w:val="24"/>
            </w:rPr>
            <w:t>CAMELOT REALTY GROUP</w:t>
          </w:r>
        </w:p>
        <w:p>
          <w:pPr>
            <w:spacing w:after="20"/>
            <w:jc w:val="left"/>
          </w:pPr>
          <w:r>
            <w:rPr>
              <w:rFonts w:ascii="Georgia" w:hAnsi="Georgia"/>
              <w:color w:val="666666"/>
              <w:sz w:val="13"/>
            </w:rPr>
            <w:t>REAL ESTATE · PROPERTY MGMT · BROKERAGE · INVESTMENT SERVICES</w:t>
          </w:r>
        </w:p>
        <w:p>
          <w:pPr>
            <w:spacing w:after="0"/>
            <w:jc w:val="left"/>
          </w:pPr>
          <w:r>
            <w:rPr>
              <w:rFonts w:ascii="Georgia" w:hAnsi="Georgia"/>
              <w:i/>
              <w:color w:val="C9A227"/>
              <w:sz w:val="18"/>
            </w:rPr>
            <w:t xml:space="preserve">New Yorkers Working for New Yorkers  </w:t>
          </w:r>
          <w:r>
            <w:rPr>
              <w:rFonts w:ascii="Georgia" w:hAnsi="Georgia"/>
              <w:color w:val="000000"/>
              <w:sz w:val="16"/>
            </w:rPr>
            <w:t>EST. 2006</w:t>
          </w:r>
        </w:p>
      </w:tc>
    </w:tr>
  </w:tbl>
  <w:p>
    <w:pPr>
      <w:spacing w:before="80" w:after="80"/>
      <w:pBdr>
        <w:bottom w:val="single" w:sz="6" w:space="4" w:color="C9A227"/>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