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Georgia" w:hAnsi="Georgia"/>
          <w:b/>
          <w:color w:val="162B4D"/>
          <w:sz w:val="34"/>
        </w:rPr>
        <w:t>MANAGEMENT AGREEMENT — CONDOMINIUM (NEW CONSTRUCTION / SPONSOR ROLLOUT)</w:t>
      </w:r>
    </w:p>
    <w:p>
      <w:pPr>
        <w:spacing w:after="320"/>
        <w:jc w:val="center"/>
        <w:shd w:val="clear" w:color="auto" w:fill="F2E8C9"/>
      </w:pPr>
      <w:r>
        <w:rPr>
          <w:i/>
          <w:color w:val="162B4D"/>
          <w:sz w:val="18"/>
        </w:rPr>
        <w:t>TEMPLATE — replace every bracketed [ ] field before circulating or executing. Use this template when Camelot is engaged by a Sponsor to manage a new-construction condominium from pre-closing through assignment to the Board of Managers.</w:t>
      </w:r>
    </w:p>
    <w:p>
      <w:pPr>
        <w:spacing w:after="160"/>
        <w:jc w:val="both"/>
      </w:pPr>
      <w:r>
        <w:t>THIS AGREEMENT, made as of this [DAY] day of [MONTH], [YEAR], between [SPONSOR ENTITY NAME], having an address at [SPONSOR ADDRESS] ("Sponsor") of a new residential condominium to be located at [PROPERTY ADDRESS] (the "Building"), which will be known as [CONDOMINIUM NAME] ("Principal") and CAMELOT PROPERTY MANAGEMENT SERVICES CORP. ("Agent"), a corporation organized and existing under the laws of the State of New York, having its principal office at 57 West 57th Street, Suite 410, New York, NY 10019.</w:t>
      </w:r>
    </w:p>
    <w:p>
      <w:pPr>
        <w:spacing w:before="160" w:after="160"/>
        <w:jc w:val="center"/>
      </w:pPr>
      <w:r>
        <w:rPr>
          <w:b/>
        </w:rPr>
        <w:t>W I T N E S S E T H:</w:t>
      </w:r>
    </w:p>
    <w:p>
      <w:pPr>
        <w:spacing w:after="160"/>
        <w:jc w:val="both"/>
      </w:pPr>
      <w:r>
        <w:t>The parties hereto mutually agree with each other as follows:</w:t>
      </w:r>
    </w:p>
    <w:p>
      <w:pPr>
        <w:spacing w:before="280" w:after="120"/>
        <w:pBdr>
          <w:bottom w:val="single" w:sz="4" w:space="4" w:color="C9A227"/>
        </w:pBdr>
      </w:pPr>
      <w:r>
        <w:rPr>
          <w:rFonts w:ascii="Georgia" w:hAnsi="Georgia"/>
          <w:b/>
          <w:color w:val="162B4D"/>
          <w:sz w:val="26"/>
        </w:rPr>
        <w:t>Article 1: Appointment and Authority of Agent</w:t>
      </w:r>
    </w:p>
    <w:p>
      <w:pPr>
        <w:spacing w:after="160"/>
        <w:jc w:val="both"/>
      </w:pPr>
      <w:r>
        <w:t>1.1 Sponsor hereby appoints Agent, and Agent hereby accepts the appointment, on the terms and conditions hereinafter provided, as exclusive managing agent of the Residential Section of the Building. Sponsor and Agent acknowledge that the Building, which is under construction, will be a residential condominium building, to be known as [CONDOMINIUM NAME] (the "Condominium"). Agent shall have no obligations with respect to the Building, except with respect to management of the General Common Elements and collection of the General Common Charges. Upon the first closing at the Building, Sponsor shall assign this Agreement to the Board of Managers of the Condominium and all references thereafter to "Principal" shall refer only to the Condominium. Prior to the first closing, Sponsor shall provide sufficient funds to Agent so it may hire initial staff, obtain necessary insurance and permits, and otherwise perform its obligations under this Agreement and prepare the Building for initial occupancy.</w:t>
      </w:r>
    </w:p>
    <w:p>
      <w:pPr>
        <w:spacing w:after="160"/>
        <w:jc w:val="both"/>
      </w:pPr>
      <w:r>
        <w:t>1.2 Principal authorizes Agent to perform any lawful act or do anything reasonably necessary or desirable in order to carry out Agent's duties contained in Article 2. Everything done by Agent under the provisions of Article 2 shall be done solely as agent of Principal and not for its own account, and all determinations made, and liabilities, obligations or expenses incurred, to the extent authorized by this Agreement, shall be for the account, on behalf and at the expense of Principal, not Agent.</w:t>
      </w:r>
    </w:p>
    <w:p>
      <w:pPr>
        <w:spacing w:before="280" w:after="120"/>
        <w:pBdr>
          <w:bottom w:val="single" w:sz="4" w:space="4" w:color="C9A227"/>
        </w:pBdr>
      </w:pPr>
      <w:r>
        <w:rPr>
          <w:rFonts w:ascii="Georgia" w:hAnsi="Georgia"/>
          <w:b/>
          <w:color w:val="162B4D"/>
          <w:sz w:val="26"/>
        </w:rPr>
        <w:t>Article 2: Duties of Agent. Agent shall perform the following services:</w:t>
      </w:r>
    </w:p>
    <w:p>
      <w:pPr>
        <w:spacing w:after="160"/>
        <w:jc w:val="both"/>
      </w:pPr>
      <w:r>
        <w:t>Assist and advise Principal in Principal's hiring, supervision and payment of all necessary persons to be employed by Principal to properly maintain and operate the Building. Such persons, in each instance, shall be Principal's and not Agent's employees. All decisions concerning employment and working conditions shall be made by Principal and any actions of Agent regarding employees shall be undertaken by Agent as Principal's agent acting at Principal's direction. Agent shall not be under any responsibility whatsoever for any act or omission, or otherwise, of any person so hired or for any decisions taken at Principal's direction regarding employees.</w:t>
      </w:r>
    </w:p>
    <w:p>
      <w:pPr>
        <w:spacing w:after="160"/>
        <w:jc w:val="both"/>
      </w:pPr>
      <w:r>
        <w:t>Through Building employees and/or independent contractors retained on Principal's behalf, maintain the Building in such condition as may be advisable, including interior and exterior cleaning, ordinary repairs, and alterations, subject only to the limitations contained in this Agreement. Ordinary repairs or alterations involving an expenditure of over Two Thousand Five Hundred Dollars ($2,500) for any one item shall be made only with the prior approval of Principal. Emergency repairs, necessary for the preservation or safety of the Building or for the safety of the residential unit owners, tenants or other persons, or required to avoid the suspension of any necessary service in the Building, may be made by Agent, without the prior approval of Principal, provided, however, that Agent shall make reasonable efforts to notify an officer of Principal at or prior to the time of the emergency repair.</w:t>
      </w:r>
    </w:p>
    <w:p>
      <w:pPr>
        <w:spacing w:after="160"/>
        <w:jc w:val="both"/>
      </w:pPr>
      <w:r>
        <w:t>Recommend, and with the approval of Principal, take such action as shall be necessary or desirable to comply with any and all orders or violations affecting the Building, imposed by any federal, state, or municipal authority having jurisdiction, and orders of the New York Board of Fire Underwriters or other similar body, subject to the same limitation with respect to the amount of the expenditure contained above in connection with the making of repairs and Building alterations, except that if failure promptly to comply with any such order or violation would or might expose Principal or Agent to criminal liability, Agent shall notify Principal and may cause such order or violation to be complied with, irrespective of the cost thereof.</w:t>
      </w:r>
    </w:p>
    <w:p>
      <w:pPr>
        <w:spacing w:after="160"/>
        <w:jc w:val="both"/>
      </w:pPr>
      <w:r>
        <w:t>Enter into contracts in the name of and at the sole expense of Principal for electricity, gas, steam, elevator, telephone, window cleaning, rubbish removal, fuel oil, security, vermin extermination and other services as deemed advisable. Any contract (other than with a public utility) with a term of more than one (1) year or in excess of Two Thousand Five Hundred Dollars ($2,500) shall require Principal's prior consent. Agent shall purchase all supplies which shall be necessary to properly maintain and operate the Building; make all such contracts and purchases in Principal's name; and credit to Principal any discounts or commissions available to Principal.</w:t>
      </w:r>
    </w:p>
    <w:p>
      <w:pPr>
        <w:spacing w:after="160"/>
        <w:jc w:val="both"/>
      </w:pPr>
      <w:r>
        <w:t>Cause to be effected and maintained (if maintainable), in such amounts as Principal shall designate, or, if no designation be made, in such amounts as Agent or the insurance broker for the Principal may consider necessary or advisable, casualty, rent, plate glass, boiler, water damage, liability, workers' compensation, disability, directors and officers liability, employment practices, crime insurance and such other insurance as may be necessary or advisable. With Principal's consent, Agent may recommend and/or place insurance through an insurance broker affiliated with Agent. Agent shall cooperate with any insurance broker or consultant engaged to protect Principal's interests.</w:t>
      </w:r>
    </w:p>
    <w:p>
      <w:pPr>
        <w:spacing w:after="160"/>
        <w:jc w:val="both"/>
      </w:pPr>
      <w:r>
        <w:t>Coordinate with Principal's tax assessment counsel with respect to real estate tax assessment appeals. Agent shall have no obligation to assist individual shareholders in qualifying for real estate tax reduction programs. Any filings or assistance Agent provides in connection with such programs shall be purely as an accommodation and Agent shall have no liability in connection therewith.</w:t>
      </w:r>
    </w:p>
    <w:p>
      <w:pPr>
        <w:spacing w:after="160"/>
        <w:jc w:val="both"/>
      </w:pPr>
      <w:r>
        <w:t>Review all bills received for services, work and supplies ordered in connection with maintaining and operating the Building, and cause to be paid such bills properly due, together with utility bills, ground rent, if any, water charges, sewer rent, assessments and real estate taxes, if any, from the account of Principal. With the prior consent of Principal and at Principal's expense, Agent may engage consultants to audit utility, water and sewer and similar charges.</w:t>
      </w:r>
    </w:p>
    <w:p>
      <w:pPr>
        <w:spacing w:after="160"/>
        <w:jc w:val="both"/>
      </w:pPr>
      <w:r>
        <w:t>Process and coordinate leases and sales of residential units and obtain and prepare necessary documents for signature by Principal, at the unit owners' expense, in accordance with Schedule C. Agent shall have no obligation to approve prospective purchasers.</w:t>
      </w:r>
    </w:p>
    <w:p>
      <w:pPr>
        <w:spacing w:after="160"/>
        <w:jc w:val="both"/>
      </w:pPr>
      <w:r>
        <w:t>Arrange for the Building superintendent to supervise the moving in and out of residents and tenants, and, as far as possible, arrange the dates thereof so that there shall be a minimum of disturbance to the operation of the Building and inconvenience to other residents and tenants.</w:t>
      </w:r>
    </w:p>
    <w:p>
      <w:pPr>
        <w:spacing w:after="160"/>
        <w:jc w:val="both"/>
      </w:pPr>
      <w:r>
        <w:t>Process applications by Residential Section unit owners for permission from Principal to alter their apartments; forward such applications to Principal or at Principal's direction, to Principal's architect or engineer; subject to Principal's consent and at the expense of the unit owner, retain on behalf of Principal an architect or engineer to review plans and specifications and coordinate, if necessary, the use of the Building's services and equipment and the unit owners' undertaking of the alterations. Agent's services hereunder shall be payable by unit owners in accordance with Schedule C.</w:t>
      </w:r>
    </w:p>
    <w:p>
      <w:pPr>
        <w:spacing w:after="160"/>
        <w:jc w:val="both"/>
      </w:pPr>
      <w:r>
        <w:t>Bill unit owners for common charges and other charges, and use its reasonable efforts to collect such common charges and other charges. When and as authorized by Principal, Agent shall engage counsel on behalf of Principal to sue to recover possession and for common charges and other charges which may at any time be or become due to Principal, and institute foreclosure proceedings.</w:t>
      </w:r>
    </w:p>
    <w:p>
      <w:pPr>
        <w:spacing w:after="160"/>
        <w:jc w:val="both"/>
      </w:pPr>
      <w:r>
        <w:t>Consider and, where reasonable, attend to the complaints of unit owners and, where appropriate, advise Principal of problems or unresolved issues.</w:t>
      </w:r>
    </w:p>
    <w:p>
      <w:pPr>
        <w:spacing w:after="160"/>
        <w:jc w:val="both"/>
      </w:pPr>
      <w:r>
        <w:t>Arrange for payment of Building employees, including issuance of payroll checks and preparation and filing of necessary forms and tax returns for unemployment insurance, social security and withholding taxes. Agent may employ a bank, a recognized payroll service, or Agent itself, to provide such services, which shall be paid for by Principal as provided in Schedule A. Agent is authorized to execute, on behalf of Principal, such authorizations and other documents required to perform such duties.</w:t>
      </w:r>
    </w:p>
    <w:p>
      <w:pPr>
        <w:spacing w:after="160"/>
        <w:jc w:val="both"/>
      </w:pPr>
      <w:r>
        <w:t>Render monthly statements, generally using the forms described in Schedule B annexed hereto (as the same may be varied from time to time), supported by disbursement vouchers to the Treasurer of Principal, not later than the 25th day of each month, showing the amount collected during the previous month less disbursements made on behalf of and for the account of Principal, including Agent's compensation hereinafter specified. A copy of each such monthly statement shall be sent by Agent to all members of Principal's Board of Managers or as directed.</w:t>
      </w:r>
    </w:p>
    <w:p>
      <w:pPr>
        <w:spacing w:after="160"/>
        <w:jc w:val="both"/>
      </w:pPr>
      <w:r>
        <w:t>Maintain in good order the corporate books of account, ledgers, check books, lists of unit owners, minute books, insurance policies and other corporate records of Principal and correspondence and records pertaining to the operation of the Building. Upon request of Principal, make the records and/or documents available to Principal, Principal's officers, accountants, attorneys or other representatives. Any records and/or documents not required for the current operation of the Building shall be delivered to Principal or stored at Principal's expense, as directed by Principal.</w:t>
      </w:r>
    </w:p>
    <w:p>
      <w:pPr>
        <w:spacing w:after="160"/>
        <w:jc w:val="both"/>
      </w:pPr>
      <w:r>
        <w:t>Cooperate with the independent accountant of Principal and arrange for the preparation and filing of federal, state and other tax returns required by any governmental authority. If necessary, Agent will assist in the preparation of sales and utility tax returns.</w:t>
      </w:r>
    </w:p>
    <w:p>
      <w:pPr>
        <w:spacing w:after="160"/>
        <w:jc w:val="both"/>
      </w:pPr>
      <w:r>
        <w:t>Cooperate with the independent accountant of Principal and arrange for an annual audit each year of the books of account of Principal, including an annual report each year of the operations of Principal for the year then ended. Additional time of the Agent needed regarding research, discovery, board meetings, and questionnaires may be billed separately to the Association at a rate no greater than $150.00 per hour, subject to a cap of $1,000.00. A copy of each such annual report shall be sent by Agent to each unit owner of Principal.</w:t>
      </w:r>
    </w:p>
    <w:p>
      <w:pPr>
        <w:spacing w:after="160"/>
        <w:jc w:val="both"/>
      </w:pPr>
      <w:r>
        <w:t>Prepare, submit and explain annually, to the Board of Managers of Principal an operating budget setting forth the anticipated income and expenses of Principal for the ensuing year and comparisons with the previous year.</w:t>
      </w:r>
    </w:p>
    <w:p>
      <w:pPr>
        <w:spacing w:after="160"/>
        <w:jc w:val="both"/>
      </w:pPr>
      <w:r>
        <w:t>As requested by Principal, cause a representative of its organization to attend meetings of the unit owners and Board of Managers of Principal.</w:t>
      </w:r>
    </w:p>
    <w:p>
      <w:pPr>
        <w:spacing w:after="160"/>
        <w:jc w:val="both"/>
      </w:pPr>
      <w:r>
        <w:t>Prepare and send out notices of Board of Managers' meetings and unit owners' meetings of Principal and such other letters and reports as the Board of Managers of Principal may reasonably request. Agent shall attend up to eleven monthly Board meetings, one annual meeting, and one budget meeting each year. Agent shall not be required to attend additional meetings, and attendance at additional meetings shall be at Agent's discretion, at a fee mutually agreed upon by Agent and Principal. Principal will use reasonable efforts to schedule and conduct meetings so that they end by 9:00 p.m.</w:t>
      </w:r>
    </w:p>
    <w:p>
      <w:pPr>
        <w:spacing w:after="160"/>
        <w:jc w:val="both"/>
      </w:pPr>
      <w:r>
        <w:t>Agent's representatives shall visit the Building as reasonably necessary and/or requested by Principal to perform its services under this Agreement.</w:t>
      </w:r>
    </w:p>
    <w:p>
      <w:pPr>
        <w:spacing w:after="160"/>
        <w:jc w:val="both"/>
      </w:pPr>
      <w:r>
        <w:t>Generally, do all things reasonably deemed necessary or desirable by Agent for the proper management of the Building in accordance with all applicable laws.</w:t>
      </w:r>
    </w:p>
    <w:p>
      <w:pPr>
        <w:spacing w:before="280" w:after="120"/>
        <w:pBdr>
          <w:bottom w:val="single" w:sz="4" w:space="4" w:color="C9A227"/>
        </w:pBdr>
      </w:pPr>
      <w:r>
        <w:rPr>
          <w:rFonts w:ascii="Georgia" w:hAnsi="Georgia"/>
          <w:b/>
          <w:color w:val="162B4D"/>
          <w:sz w:val="26"/>
        </w:rPr>
        <w:t>Article 3: Bank Accounts</w:t>
      </w:r>
    </w:p>
    <w:p>
      <w:pPr>
        <w:spacing w:after="160"/>
        <w:jc w:val="both"/>
      </w:pPr>
      <w:r>
        <w:t>Agent shall establish a depository/checking account in the name of Principal in a federally insured institution selected by Agent and all funds collected by Agent for the account of Principal will be deposited therein. Agent shall also establish accounts for, and invest, other funds of Principal in consultation with Principal. Agent shall be under no liability or responsibility for any loss resulting from the insolvency of any depository or from any investment undertaken with Principal's consent. Principal's funds shall not be co-mingled with other funds of Agent or with funds of other buildings managed by Agent.</w:t>
      </w:r>
    </w:p>
    <w:p>
      <w:pPr>
        <w:spacing w:after="160"/>
        <w:jc w:val="both"/>
      </w:pPr>
      <w:r>
        <w:t>Any payments made by Agent hereunder shall be made out of such funds as Agent may from time to time hold for the account of Principal or as may be provided by Principal. Agent shall not be obliged to make any advance to, or for the account of, Principal or to pay any amount except out of funds held or provided as aforesaid, nor shall Agent be obliged to incur any liability or obligation unless Principal shall furnish Agent with the necessary funds for the discharge thereof.</w:t>
      </w:r>
    </w:p>
    <w:p>
      <w:pPr>
        <w:spacing w:after="160"/>
        <w:jc w:val="both"/>
      </w:pPr>
      <w:r>
        <w:t>If Agent shall advance voluntarily for Principal's account any amount for the payment of any obligation or necessary expense connected with the maintenance or operation of the Building, or otherwise, Agent may repay such amounts from Principal's funds or Principal shall reimburse Agent on demand. Agent shall confer regularly with Principal in performance of its duties under this Agreement.</w:t>
      </w:r>
    </w:p>
    <w:p>
      <w:pPr>
        <w:spacing w:after="160"/>
        <w:jc w:val="both"/>
      </w:pPr>
      <w:r>
        <w:t>Principal will maintain at all times in its account with Agent funds in an amount reasonably required for the operation of the Building, including payment of Agent's fees. In the event the funds available are insufficient to meet obligations and to properly maintain the Building, Agent shall give prior notice of the shortfall, and Principal shall be in default of a material obligation hereunder if it fails to promptly cure such shortfall. In that event, Agent may terminate this Agreement and shall not be liable to Principal and shall be excused from any failure to perform its duties under this Agreement due to such shortfall.</w:t>
      </w:r>
    </w:p>
    <w:p>
      <w:pPr>
        <w:spacing w:before="280" w:after="120"/>
        <w:pBdr>
          <w:bottom w:val="single" w:sz="4" w:space="4" w:color="C9A227"/>
        </w:pBdr>
      </w:pPr>
      <w:r>
        <w:rPr>
          <w:rFonts w:ascii="Georgia" w:hAnsi="Georgia"/>
          <w:b/>
          <w:color w:val="162B4D"/>
          <w:sz w:val="26"/>
        </w:rPr>
        <w:t>Article 4: Principal's Indemnification, Insurance and Obligations</w:t>
      </w:r>
    </w:p>
    <w:p>
      <w:pPr>
        <w:spacing w:after="160"/>
        <w:jc w:val="both"/>
      </w:pPr>
      <w:r>
        <w:t>Principal shall indemnify, defend (or reimburse Agent's reasonable defense costs) and hold Agent, its affiliates assisting Agent in providing services to Principal under this Agreement, their members, shareholders, directors, officers and employees ("Indemnified Parties") harmless for any and all loss, claims, demands, penalties, damages, liabilities, costs and expenses, statutory or otherwise, including reasonable attorney's fees and expenses, arising from this Agreement, whether paid, incurred by, or asserted against an Indemnified Party (collectively, "Claims"), for injury to any persons or property in, about and in connection with the Building, and from any cause whatsoever, including without limitation, any claims: (a) for all acts, services or responsibilities of Agent pursuant to this Agreement or the instructions of Principal; (b) based on Agent's status as agent of the Building; (c) for any act or omission of an employee of Principal; (d) for any default by Principal in keeping Principal's obligations under this Agreement; and (e) based on an event or action which either (x) occurred prior to appointment of Agent as agent for the Building or (y) may arise after the termination of this Agreement by reason of actions of persons or entities other than Agent. Nothing in the foregoing shall relieve Agent from liability for any Claims caused by Agent's proven gross negligence or willful misconduct in performance of its duties hereunder. No claim shall be made by Principal against Agent unless based upon loss or damage caused by Agent's gross negligence or willful misconduct. No claim shall be made against Agent for any action taken pursuant to Principal's direction or with Principal's consent. Sponsor shall indemnify, defend, and hold Agent harmless for all costs, claims, and expenses, including reasonable legal fees, in connection with the acts or omissions of Sponsor or its contractors and agents regarding the Building. Sponsor's indemnification shall survive the assignment of this Agreement to the Condominium at the first closing.</w:t>
      </w:r>
    </w:p>
    <w:p>
      <w:pPr>
        <w:spacing w:after="160"/>
        <w:jc w:val="both"/>
      </w:pPr>
      <w:r>
        <w:t>Agent shall indemnify, defend (or reimburse Principal's reasonable defense costs) and hold Principal, their members, shareholders, directors, officers and employees ("Indemnified Parties") harmless for any and all loss, claims, demands, penalties, damages, liabilities, costs and expenses, statutory or otherwise, including reasonable attorney's fees and expenses, arising from this Agreement, whether paid, incurred by, or asserted against an Indemnified Party (collectively, "Claims"), for injury to any persons or property in, about and in connection with the Building, and from any cause whatsoever, including without limitation, any claims: (a) for all acts, services or responsibilities of Principal pursuant to this Agreement; (b) based on Principal's status with respect to the Building; (c) for any act or omission of an employee of Agent; (d) for any default by Agent in keeping Agent's obligations under this Agreement; and (e) based on an event or action which either (x) occurred during Agent's appointment as agent for the Building or (y) may arise after the termination of this Agreement by reason of Agent's actions. Nothing in the foregoing shall relieve Principal from liability for any Claims caused by Principal's proven gross negligence or willful misconduct in performance of its duties hereunder. No claim shall be made by Agent against Principal unless based upon loss or damage caused by Principal's gross negligence or willful misconduct. Agent shall indemnify, defend, and hold Sponsor harmless for all costs, claims, and expenses, including reasonable legal fees, in connection with the acts or omissions of Agent or its agents regarding the Building.</w:t>
      </w:r>
    </w:p>
    <w:p>
      <w:pPr>
        <w:spacing w:after="160"/>
        <w:jc w:val="both"/>
      </w:pPr>
      <w:r>
        <w:t>Agent shall promptly advise Principal and/or its insurance company of its receipt of information concerning any claims or proceedings against Principal and/or Agent, provided that the failure to so notify shall not relieve Principal of its obligations hereunder except to the extent Principal is prejudiced thereby. It is intended that Principal's insurance shall be primary for all claims against Principal and/or Agent regarding the Building, its employees, and Agent's duties hereunder.</w:t>
      </w:r>
    </w:p>
    <w:p>
      <w:pPr>
        <w:spacing w:after="160"/>
        <w:jc w:val="both"/>
      </w:pPr>
      <w:r>
        <w:t>Prior to the first closing, Principal will maintain in full force and effect, at its expense, general and umbrella liability insurance with limits of not less than $1,000,000.00 per occurrence and $2,000,000.00 in the aggregate, property damage, including loss of rents, Directors and Officers insurance, including coverage for claims of Building employees, crime insurance, boiler and machinery insurance and Workers' Compensation / Employer Liability and New York State Disability insurance. All such general liability, directors and officers and employment insurance will include Agent as an additional insured, and Principal will deliver a copy of such liability policies to Agent or certificates evidencing the same upon commencement of this Agreement and not less than 30 days prior to the expiration of each policy each year. Agent will maintain its own insurance for the life of this Agreement and will name Principal and Sponsor as additional insureds under Agent's policy delivered to Principal within 45 days of the execution of this Agreement.</w:t>
      </w:r>
    </w:p>
    <w:p>
      <w:pPr>
        <w:spacing w:after="160"/>
        <w:jc w:val="both"/>
      </w:pPr>
      <w:r>
        <w:t>Following the first closing, Principal will maintain in full force and effect, at its expense, general and umbrella liability insurance with limits of not less than $10,000,000.00 per occurrence and in the aggregate, property damage, including loss of rents, Directors and Officers insurance, including coverage for claims of Building employees, crime insurance, boiler and machinery insurance and Workers' Compensation / Employer Liability and New York State Disability insurance. All such general liability, directors and officers and employment insurance will include Agent as an additional insured, and Principal will deliver a copy of such liability policies to Agent or certificates evidencing the same upon commencement of this Agreement and not less than 30 days prior to the expiration of each policy each year. Notwithstanding anything contained in this Agreement to the contrary, Agent will not be liable to Principal to the extent any matter is covered by the insurance policies maintained by Principal.</w:t>
      </w:r>
    </w:p>
    <w:p>
      <w:pPr>
        <w:spacing w:after="160"/>
        <w:jc w:val="both"/>
      </w:pPr>
      <w:r>
        <w:t>Principal shall promptly observe and comply with all present or future laws, ordinances, requirements, orders, directives, rules and regulations of all governmental authorities affecting the Building and the property upon which it is situated. Agent and Principal shall comply with any applicable collective bargaining agreement covering Building employees. During the Term of this Agreement and for three years following termination of this Agreement, Principal shall not solicit or employ, directly or indirectly, any employee of Agent.</w:t>
      </w:r>
    </w:p>
    <w:p>
      <w:pPr>
        <w:spacing w:after="160"/>
        <w:jc w:val="both"/>
      </w:pPr>
      <w:r>
        <w:t>It is expressly understood and agreed that the foregoing provisions of this Article 4 shall survive the termination of this Agreement.</w:t>
      </w:r>
    </w:p>
    <w:p>
      <w:pPr>
        <w:spacing w:before="280" w:after="120"/>
        <w:pBdr>
          <w:bottom w:val="single" w:sz="4" w:space="4" w:color="C9A227"/>
        </w:pBdr>
      </w:pPr>
      <w:r>
        <w:rPr>
          <w:rFonts w:ascii="Georgia" w:hAnsi="Georgia"/>
          <w:b/>
          <w:color w:val="162B4D"/>
          <w:sz w:val="26"/>
        </w:rPr>
        <w:t>Article 5: Agent's Fees for Services</w:t>
      </w:r>
    </w:p>
    <w:p>
      <w:pPr>
        <w:spacing w:after="160"/>
        <w:jc w:val="both"/>
      </w:pPr>
      <w:r>
        <w:t>Principal shall pay Agent the sum of [INITIAL MANAGEMENT FEE IN WORDS] Dollars ($[INITIAL MANAGEMENT FEE AMOUNT]) per annum (the "Management Fee"), payable in equal monthly installments in advance on the first day of each month, as the "Initial Management Fee" for the first year of operation, from the date of the first closing to the Initial End Date. Thereafter, the Management Fee will increase to [YEAR TWO MANAGEMENT FEE IN WORDS] Dollars ($[YEAR TWO MANAGEMENT FEE AMOUNT]) annually in year two of this Agreement, and to [YEAR THREE MANAGEMENT FEE IN WORDS] Dollars ($[YEAR THREE MANAGEMENT FEE AMOUNT]) in year three, or, if no new Management Fee has been established, Principal shall pay to Agent, as the new Management Fee for each successive year of the Term, no less than a 5% increase, or such other amount as is mutually agreed upon by both Board and Agent in writing not less than 60 days prior to the previous year's Management Fee.</w:t>
      </w:r>
    </w:p>
    <w:p>
      <w:pPr>
        <w:spacing w:after="160"/>
        <w:jc w:val="both"/>
      </w:pPr>
      <w:r>
        <w:t>Agent is hereby authorized to deduct and obtain its compensation, including the debiting of Principal's account on the first day of each month for Agent's compensation as set forth herein, out of the funds collected by it for the account of Principal, and Principal shall pay any deficiency on demand.</w:t>
      </w:r>
    </w:p>
    <w:p>
      <w:pPr>
        <w:spacing w:after="160"/>
        <w:jc w:val="both"/>
      </w:pPr>
      <w:r>
        <w:t>Principal shall pay Agent additional fees as set forth in Schedule A annexed hereto, for services including but not limited to payroll processing, attending legal and administrative hearings, and tax certiorari services.</w:t>
      </w:r>
    </w:p>
    <w:p>
      <w:pPr>
        <w:spacing w:after="160"/>
        <w:jc w:val="both"/>
      </w:pPr>
      <w:r>
        <w:t>Principal shall reimburse Agent for all its ordinary and customary out-of-pocket expenses incurred by Agent in the performance of its duties under this Agreement, including but not limited to costs for printing, mailing, messenger service, record storage, and facsimile charges.</w:t>
      </w:r>
    </w:p>
    <w:p>
      <w:pPr>
        <w:spacing w:after="160"/>
        <w:jc w:val="both"/>
      </w:pPr>
      <w:r>
        <w:t>Agent shall be entitled to fees from unit owners as set forth in Schedule C annexed hereto in connection with services for: (i) the processing of each application of a unit owner other than Sponsor for the sale or lease of units; (ii) the preparation, review and processing of an apartment alteration application and inspection of the alteration work; and (iii) other services beyond the scope of this Agreement. Principal authorizes Agent to collect these fees directly from the unit owner or party requesting the service. The additional fees set forth in Schedules A and C are subject to periodic increase by Agent.</w:t>
      </w:r>
    </w:p>
    <w:p>
      <w:pPr>
        <w:spacing w:before="280" w:after="120"/>
        <w:pBdr>
          <w:bottom w:val="single" w:sz="4" w:space="4" w:color="C9A227"/>
        </w:pBdr>
      </w:pPr>
      <w:r>
        <w:rPr>
          <w:rFonts w:ascii="Georgia" w:hAnsi="Georgia"/>
          <w:b/>
          <w:color w:val="162B4D"/>
          <w:sz w:val="26"/>
        </w:rPr>
        <w:t>Article 6: Brokerage</w:t>
      </w:r>
    </w:p>
    <w:p>
      <w:pPr>
        <w:spacing w:after="160"/>
        <w:jc w:val="both"/>
      </w:pPr>
      <w:r>
        <w:t>Agent shall not be entitled to any brokerage commission for the sale of any residential units in the Building sold by unit owners, or for the rental of any apartment by any unit owners, unless such unit owners shall directly engage the services of Agent as broker, and in no event shall Principal be liable for any such commissions. Notwithstanding the foregoing, Agent may notify unit owners of its or its affiliate's willingness to act as broker on their behalf and, if engaged by any unit owner for such purpose, Agent or its affiliate shall be paid by such unit owner a commission agreed upon between the parties.</w:t>
      </w:r>
    </w:p>
    <w:p>
      <w:pPr>
        <w:spacing w:before="280" w:after="120"/>
        <w:pBdr>
          <w:bottom w:val="single" w:sz="4" w:space="4" w:color="C9A227"/>
        </w:pBdr>
      </w:pPr>
      <w:r>
        <w:rPr>
          <w:rFonts w:ascii="Georgia" w:hAnsi="Georgia"/>
          <w:b/>
          <w:color w:val="162B4D"/>
          <w:sz w:val="26"/>
        </w:rPr>
        <w:t>Article 7: Term of Agreement and Requirements for Termination</w:t>
      </w:r>
    </w:p>
    <w:p>
      <w:pPr>
        <w:spacing w:after="160"/>
        <w:jc w:val="both"/>
      </w:pPr>
      <w:r>
        <w:t>The initial term of this Agreement shall be one (1) year, commencing on the date of the first closing of a unit in the Condominium (the "Commencement Date") and ending on the last day of the month which is one year following the Commencement Date (the "Initial End Date"). Thereafter, the Term shall automatically be extended and the Agreement shall continue upon the terms and conditions herein until terminated at the option of either party at the end of any calendar month on at least thirty (30) days' prior written notice from one party to the other. Notwithstanding the foregoing, this Agreement may be terminated at any time under the circumstances described below.</w:t>
      </w:r>
    </w:p>
    <w:p>
      <w:pPr>
        <w:spacing w:after="160"/>
        <w:jc w:val="both"/>
      </w:pPr>
      <w:r>
        <w:t>(a) If the Building shall be demolished, or Principal shall fail or refuse to comply or commence to comply with or abide by any rule, order, determination, ordinance or law of any federal, state or municipal authority, Agent may terminate this Agreement if such failure shall continue for fifteen (15) days after notice to Principal, or, in an emergency, at any time on twenty-four (24) hours' prior written notice to Principal.</w:t>
      </w:r>
    </w:p>
    <w:p>
      <w:pPr>
        <w:spacing w:after="160"/>
        <w:jc w:val="both"/>
      </w:pPr>
      <w:r>
        <w:t>(b) If either party shall fail to cure, or commence to cure and diligently pursue such cure, any default of a material term of this Agreement, within fifteen (15) days after written notice from the other party, the non-defaulting party may terminate this Agreement for such default upon twenty-four (24) hours' written notice.</w:t>
      </w:r>
    </w:p>
    <w:p>
      <w:pPr>
        <w:spacing w:after="160"/>
        <w:jc w:val="both"/>
      </w:pPr>
      <w:r>
        <w:t>(c) This Agreement may be terminated, at any time and at the sole discretion of Principal, upon 30 days' notice without cause. Upon delivery of such notice to Agent, Agent shall engage with the new replacement manager to transition and will cooperate in all respects with such transition.</w:t>
      </w:r>
    </w:p>
    <w:p>
      <w:pPr>
        <w:spacing w:after="160"/>
        <w:jc w:val="both"/>
      </w:pPr>
      <w:r>
        <w:t>Upon termination, the parties shall account to each other with respect to all uncompleted business, and Agent shall deliver to Principal or its designee all books and records and other instruments relating to the Building and Principal, and all funds of Principal, which may be in the possession of Agent. Principal shall furnish Agent with reasonable security against any outstanding obligations or liabilities which Agent may have incurred hereunder.</w:t>
      </w:r>
    </w:p>
    <w:p>
      <w:pPr>
        <w:spacing w:before="280" w:after="120"/>
        <w:pBdr>
          <w:bottom w:val="single" w:sz="4" w:space="4" w:color="C9A227"/>
        </w:pBdr>
      </w:pPr>
      <w:r>
        <w:rPr>
          <w:rFonts w:ascii="Georgia" w:hAnsi="Georgia"/>
          <w:b/>
          <w:color w:val="162B4D"/>
          <w:sz w:val="26"/>
        </w:rPr>
        <w:t>Article 8: Fiduciary Duty</w:t>
      </w:r>
    </w:p>
    <w:p>
      <w:pPr>
        <w:spacing w:after="160"/>
        <w:jc w:val="both"/>
      </w:pPr>
      <w:r>
        <w:t>Agent shall conduct its business in accordance with the fiduciary standards required of an agency relationship. Agent has adopted procedures, subject to modification from time to time, to deter improper conduct by its employees, vendors and contractors, and will advise Principal of these procedures.</w:t>
      </w:r>
    </w:p>
    <w:p>
      <w:pPr>
        <w:spacing w:before="280" w:after="120"/>
        <w:pBdr>
          <w:bottom w:val="single" w:sz="4" w:space="4" w:color="C9A227"/>
        </w:pBdr>
      </w:pPr>
      <w:r>
        <w:rPr>
          <w:rFonts w:ascii="Georgia" w:hAnsi="Georgia"/>
          <w:b/>
          <w:color w:val="162B4D"/>
          <w:sz w:val="26"/>
        </w:rPr>
        <w:t>Article 9: Licensing</w:t>
      </w:r>
    </w:p>
    <w:p>
      <w:pPr>
        <w:spacing w:after="160"/>
        <w:jc w:val="both"/>
      </w:pPr>
      <w:r>
        <w:t>Agent represents to Principal that it is and shall be during the Term duly licensed by the Department of State of the State of New York as a real estate broker.</w:t>
      </w:r>
    </w:p>
    <w:p>
      <w:pPr>
        <w:spacing w:before="280" w:after="120"/>
        <w:pBdr>
          <w:bottom w:val="single" w:sz="4" w:space="4" w:color="C9A227"/>
        </w:pBdr>
      </w:pPr>
      <w:r>
        <w:rPr>
          <w:rFonts w:ascii="Georgia" w:hAnsi="Georgia"/>
          <w:b/>
          <w:color w:val="162B4D"/>
          <w:sz w:val="26"/>
        </w:rPr>
        <w:t>Article 10: Notices</w:t>
      </w:r>
    </w:p>
    <w:p>
      <w:pPr>
        <w:spacing w:after="160"/>
        <w:jc w:val="both"/>
      </w:pPr>
      <w:r>
        <w:t>All notices required to be given under this Agreement shall be effective: (a) to Agent, only if in writing and personally delivered or sent by certified mail or by nationally recognized overnight delivery service to Agent at the address of Agent indicated herein; and (b) to Principal, addressed to Principal (Attention: President) at the address of the Building, in writing and personally delivered or sent by certified mail. Either party may designate a substitute address by notice to the other party given in accordance with this Article. Notices shall be deemed given if sent by mail, upon deposit with the United States Postal Service, and if personally delivered, upon conveyance to a recognized same-day courier service. Notwithstanding the foregoing, any notice of change of address shall not be effective until received, and routine notifications and consents may be given by email, fax, or other electronic or written means.</w:t>
      </w:r>
    </w:p>
    <w:p>
      <w:pPr>
        <w:spacing w:before="280" w:after="120"/>
        <w:pBdr>
          <w:bottom w:val="single" w:sz="4" w:space="4" w:color="C9A227"/>
        </w:pBdr>
      </w:pPr>
      <w:r>
        <w:rPr>
          <w:rFonts w:ascii="Georgia" w:hAnsi="Georgia"/>
          <w:b/>
          <w:color w:val="162B4D"/>
          <w:sz w:val="26"/>
        </w:rPr>
        <w:t>Article 11: Miscellaneous</w:t>
      </w:r>
    </w:p>
    <w:p>
      <w:pPr>
        <w:spacing w:after="160"/>
        <w:jc w:val="both"/>
      </w:pPr>
      <w:r>
        <w:t>The provisions contained in this Agreement, including any Rider hereto, constitute the entire understanding between the parties with respect to the subject matter hereof and supersede all previous communications, either oral or written, between the parties with respect to such subject matter. In entering into this Agreement, neither party has relied on any statement, representation or agreement of the other party except for those expressly contained in this Agreement.</w:t>
      </w:r>
    </w:p>
    <w:p>
      <w:pPr>
        <w:spacing w:after="160"/>
        <w:jc w:val="both"/>
      </w:pPr>
      <w:r>
        <w:t>Except as provided herein, no waiver, change, modification, amendment or discharge of any provisions of this Agreement shall be of any force or effect unless set forth in a written document and accepted or otherwise assented to in writing on behalf of each party by a duly authorized individual.</w:t>
      </w:r>
    </w:p>
    <w:p>
      <w:pPr>
        <w:spacing w:after="160"/>
        <w:jc w:val="both"/>
      </w:pPr>
      <w:r>
        <w:t>The waiver by a party of any default under this Agreement or of any breach of any covenant, agreement or condition contained herein shall not be construed to constitute a waiver of any other default or breach hereof, whether similar or otherwise. If any provision of this Agreement is found to be void and unenforceable by a court of competent jurisdiction, the remaining provisions of this Agreement shall nevertheless be binding upon the parties with the same effect as though the void or unenforceable part had been severed and deleted. The parties will negotiate in good faith to replace the unenforceable provision with an enforceable provision.</w:t>
      </w:r>
    </w:p>
    <w:p>
      <w:pPr>
        <w:spacing w:after="160"/>
        <w:jc w:val="both"/>
      </w:pPr>
      <w:r>
        <w:t>Principal and Agent hereby knowingly and voluntarily waive trial by jury in any action, proceeding or counterclaim brought by either against the other on any matter whatsoever arising out of or in any way connected with this Agreement.</w:t>
      </w:r>
    </w:p>
    <w:p>
      <w:pPr>
        <w:spacing w:after="160"/>
        <w:jc w:val="both"/>
      </w:pPr>
      <w:r>
        <w:t>This Agreement shall bind and apply to any successor of either party hereto, and this Agreement may not be assigned by either party hereto except as expressly provided herein.</w:t>
      </w:r>
    </w:p>
    <w:p>
      <w:pPr>
        <w:spacing w:after="160"/>
        <w:jc w:val="both"/>
      </w:pPr>
      <w:r>
        <w:t>Each party represents and warrants to the other that: (i) entry into this Agreement has been duly authorized in accordance with the governing documents of the respective party; (ii) the person signing for the party is fully authorized to represent the respective party and to enter into this Agreement; and (iii) entry into this Agreement and performance of the party's respective obligations hereunder does not violate any agreement, judgment or regulation binding upon the party.</w:t>
      </w:r>
    </w:p>
    <w:p>
      <w:pPr>
        <w:spacing w:after="160"/>
        <w:jc w:val="both"/>
      </w:pPr>
      <w:r>
        <w:t>The paragraph captions contained herein are for convenience only and shall not be deemed to constitute the substantive portion of this Agreement.</w:t>
      </w:r>
    </w:p>
    <w:p>
      <w:pPr>
        <w:spacing w:after="160"/>
        <w:jc w:val="both"/>
      </w:pPr>
      <w:r>
        <w:t>In the event of any claim regarding this Agreement, a party shall look only to the assets of the other party for compensation, and the officers, directors and/or employees of Agent and Principal shall have no personal liability under this Agreement.</w:t>
      </w:r>
    </w:p>
    <w:p>
      <w:pPr>
        <w:spacing w:after="160"/>
        <w:jc w:val="both"/>
      </w:pPr>
      <w:r>
        <w:t>All claims in connection with this Agreement must be brought in the courts of the City, State, and County of New York, and each party waives any right to contest such jurisdiction or raise the defense of forum non conveniens.</w:t>
      </w:r>
    </w:p>
    <w:p>
      <w:pPr>
        <w:spacing w:after="160"/>
        <w:jc w:val="both"/>
      </w:pPr>
      <w:r>
        <w:t>This Agreement and any claims in connection with the subject matter of this Agreement shall be governed by, and construed in accordance with, the internal laws of the State of New York.</w:t>
      </w:r>
    </w:p>
    <w:p>
      <w:pPr>
        <w:spacing w:after="160"/>
        <w:jc w:val="both"/>
      </w:pPr>
      <w:r>
        <w:t>No person or entity not a party to this Agreement, including any unit owner or shareholder, shall make any claim to receive any benefit or be deemed a third-party beneficiary hereunder.</w:t>
      </w:r>
    </w:p>
    <w:p>
      <w:pPr>
        <w:spacing w:after="160"/>
        <w:jc w:val="both"/>
      </w:pPr>
      <w:r>
        <w:t>This Agreement may not be changed orally.</w:t>
        <w:br w:type="page"/>
      </w:r>
    </w:p>
    <w:p>
      <w:pPr>
        <w:spacing w:before="200" w:after="200"/>
        <w:jc w:val="center"/>
      </w:pPr>
      <w:r>
        <w:rPr>
          <w:i/>
        </w:rPr>
        <w:t>IN WITNESS WHEREOF, the parties hereto have executed this Agreement as of the date first above written.</w:t>
      </w:r>
    </w:p>
    <w:p>
      <w:pPr>
        <w:spacing w:before="200" w:after="40"/>
        <w:jc w:val="center"/>
      </w:pPr>
      <w:r>
        <w:rPr>
          <w:b/>
        </w:rPr>
        <w:t>SPONSOR: [SPONSOR ENTITY NAME]</w:t>
      </w:r>
    </w:p>
    <w:p>
      <w:pPr>
        <w:spacing w:after="40"/>
        <w:jc w:val="center"/>
      </w:pPr>
      <w:r>
        <w:t>By: ________________________</w:t>
      </w:r>
    </w:p>
    <w:p>
      <w:pPr>
        <w:spacing w:after="40"/>
        <w:jc w:val="center"/>
      </w:pPr>
      <w:r>
        <w:t>Its: ________________________</w:t>
      </w:r>
    </w:p>
    <w:p>
      <w:pPr>
        <w:jc w:val="center"/>
      </w:pPr>
      <w:r>
        <w:rPr>
          <w:b w:val="0"/>
        </w:rPr>
        <w:t>Date:</w:t>
      </w:r>
    </w:p>
    <w:p>
      <w:pPr>
        <w:pBdr>
          <w:bottom w:val="single" w:sz="6" w:space="6" w:color="C9A55C"/>
        </w:pBdr>
        <w:jc w:val="center"/>
      </w:pPr>
    </w:p>
    <w:p>
      <w:pPr>
        <w:spacing w:before="200" w:after="40"/>
        <w:jc w:val="center"/>
      </w:pPr>
      <w:r>
        <w:rPr>
          <w:b/>
        </w:rPr>
        <w:t>AGENT: CAMELOT PROPERTY MANAGEMENT SERVICES CORP.</w:t>
      </w:r>
    </w:p>
    <w:p>
      <w:pPr>
        <w:spacing w:after="40"/>
        <w:jc w:val="center"/>
      </w:pPr>
      <w:r>
        <w:t>By: ________________________</w:t>
      </w:r>
    </w:p>
    <w:p>
      <w:pPr>
        <w:spacing w:after="40"/>
        <w:jc w:val="center"/>
      </w:pPr>
      <w:r>
        <w:t>Its: President</w:t>
      </w:r>
    </w:p>
    <w:p>
      <w:pPr>
        <w:jc w:val="center"/>
      </w:pPr>
      <w:r>
        <w:rPr>
          <w:b w:val="0"/>
        </w:rPr>
        <w:t>Date:</w:t>
      </w:r>
    </w:p>
    <w:p>
      <w:r>
        <w:br w:type="page"/>
      </w:r>
    </w:p>
    <w:p>
      <w:pPr>
        <w:spacing w:before="280" w:after="120"/>
        <w:pBdr>
          <w:bottom w:val="single" w:sz="4" w:space="4" w:color="C9A227"/>
        </w:pBdr>
      </w:pPr>
      <w:r>
        <w:rPr>
          <w:rFonts w:ascii="Georgia" w:hAnsi="Georgia"/>
          <w:b/>
          <w:color w:val="162B4D"/>
          <w:sz w:val="26"/>
        </w:rPr>
        <w:t>SCHEDULE A — FEES PAYABLE BY PRINCIPAL</w:t>
      </w:r>
    </w:p>
    <w:p>
      <w:pPr>
        <w:spacing w:after="200"/>
      </w:pPr>
      <w:r>
        <w:rPr>
          <w:i/>
          <w:sz w:val="19"/>
        </w:rPr>
        <w:t>All fees are subject to change upon notice to Principal.</w:t>
      </w:r>
    </w:p>
    <w:tbl>
      <w:tblPr>
        <w:tblW w:type="auto" w:w="0"/>
        <w:tblLayout w:type="fixed"/>
        <w:tblLook w:firstColumn="1" w:firstRow="1" w:lastColumn="0" w:lastRow="0" w:noHBand="0" w:noVBand="1" w:val="04A0"/>
      </w:tblPr>
      <w:tblGrid>
        <w:gridCol w:w="7056"/>
        <w:gridCol w:w="2736"/>
      </w:tblGrid>
      <w:tr>
        <w:tc>
          <w:tcPr>
            <w:tcW w:type="dxa" w:w="7056"/>
            <w:shd w:val="clear" w:color="auto" w:fill="162B4D"/>
            <w:vAlign w:val="center"/>
          </w:tcPr>
          <w:p>
            <w:r>
              <w:rPr>
                <w:b/>
                <w:color w:val="FFFFFF"/>
                <w:sz w:val="20"/>
              </w:rPr>
              <w:t>Service</w:t>
            </w:r>
          </w:p>
        </w:tc>
        <w:tc>
          <w:tcPr>
            <w:tcW w:type="dxa" w:w="2736"/>
            <w:shd w:val="clear" w:color="auto" w:fill="162B4D"/>
            <w:vAlign w:val="center"/>
          </w:tcPr>
          <w:p>
            <w:r>
              <w:rPr>
                <w:b/>
                <w:color w:val="FFFFFF"/>
                <w:sz w:val="20"/>
              </w:rPr>
              <w:t>Fee</w:t>
            </w:r>
          </w:p>
        </w:tc>
      </w:tr>
      <w:tr>
        <w:tc>
          <w:tcPr>
            <w:tcW w:type="dxa" w:w="7056"/>
          </w:tcPr>
          <w:p>
            <w:r>
              <w:rPr>
                <w:sz w:val="19"/>
              </w:rPr>
              <w:t>Tax Certiorari Coordination (application to reduce assessed valuation)</w:t>
            </w:r>
          </w:p>
        </w:tc>
        <w:tc>
          <w:tcPr>
            <w:tcW w:type="dxa" w:w="2736"/>
          </w:tcPr>
          <w:p>
            <w:r>
              <w:rPr>
                <w:sz w:val="19"/>
              </w:rPr>
              <w:t>$200.00</w:t>
            </w:r>
          </w:p>
        </w:tc>
      </w:tr>
      <w:tr>
        <w:tc>
          <w:tcPr>
            <w:tcW w:type="dxa" w:w="7056"/>
          </w:tcPr>
          <w:p>
            <w:r>
              <w:rPr>
                <w:sz w:val="19"/>
              </w:rPr>
              <w:t>Real Estate Tax Certiorari Self-Audit</w:t>
            </w:r>
          </w:p>
        </w:tc>
        <w:tc>
          <w:tcPr>
            <w:tcW w:type="dxa" w:w="2736"/>
          </w:tcPr>
          <w:p>
            <w:r>
              <w:rPr>
                <w:sz w:val="19"/>
              </w:rPr>
              <w:t>$200.00 per year</w:t>
            </w:r>
          </w:p>
        </w:tc>
      </w:tr>
      <w:tr>
        <w:tc>
          <w:tcPr>
            <w:tcW w:type="dxa" w:w="7056"/>
          </w:tcPr>
          <w:p>
            <w:r>
              <w:rPr>
                <w:sz w:val="19"/>
              </w:rPr>
              <w:t>RPIE-Exempt Preparation</w:t>
            </w:r>
          </w:p>
        </w:tc>
        <w:tc>
          <w:tcPr>
            <w:tcW w:type="dxa" w:w="2736"/>
          </w:tcPr>
          <w:p>
            <w:r>
              <w:rPr>
                <w:sz w:val="19"/>
              </w:rPr>
              <w:t>$75.00, filed every three years</w:t>
            </w:r>
          </w:p>
        </w:tc>
      </w:tr>
      <w:tr>
        <w:tc>
          <w:tcPr>
            <w:tcW w:type="dxa" w:w="7056"/>
          </w:tcPr>
          <w:p>
            <w:r>
              <w:rPr>
                <w:sz w:val="19"/>
              </w:rPr>
              <w:t>RPIE-Non-Exempt Preparation</w:t>
            </w:r>
          </w:p>
        </w:tc>
        <w:tc>
          <w:tcPr>
            <w:tcW w:type="dxa" w:w="2736"/>
          </w:tcPr>
          <w:p>
            <w:r>
              <w:rPr>
                <w:sz w:val="19"/>
              </w:rPr>
              <w:t>$750.00 per year</w:t>
            </w:r>
          </w:p>
        </w:tc>
      </w:tr>
      <w:tr>
        <w:tc>
          <w:tcPr>
            <w:tcW w:type="dxa" w:w="7056"/>
          </w:tcPr>
          <w:p>
            <w:r>
              <w:rPr>
                <w:sz w:val="19"/>
              </w:rPr>
              <w:t>Cooperative/Condominium Property Tax Abatement — Annual Application</w:t>
            </w:r>
          </w:p>
        </w:tc>
        <w:tc>
          <w:tcPr>
            <w:tcW w:type="dxa" w:w="2736"/>
          </w:tcPr>
          <w:p>
            <w:r>
              <w:rPr>
                <w:sz w:val="19"/>
              </w:rPr>
              <w:t>$400.00 per year</w:t>
            </w:r>
          </w:p>
        </w:tc>
      </w:tr>
      <w:tr>
        <w:tc>
          <w:tcPr>
            <w:tcW w:type="dxa" w:w="7056"/>
          </w:tcPr>
          <w:p>
            <w:r>
              <w:rPr>
                <w:sz w:val="19"/>
              </w:rPr>
              <w:t>Property Tax Abatement — Unit Owner Data Compilation/Amendment</w:t>
            </w:r>
          </w:p>
        </w:tc>
        <w:tc>
          <w:tcPr>
            <w:tcW w:type="dxa" w:w="2736"/>
          </w:tcPr>
          <w:p>
            <w:r>
              <w:rPr>
                <w:sz w:val="19"/>
              </w:rPr>
              <w:t>$10.00 per unit</w:t>
            </w:r>
          </w:p>
        </w:tc>
      </w:tr>
      <w:tr>
        <w:tc>
          <w:tcPr>
            <w:tcW w:type="dxa" w:w="7056"/>
          </w:tcPr>
          <w:p>
            <w:r>
              <w:rPr>
                <w:sz w:val="19"/>
              </w:rPr>
              <w:t>Payroll Processing</w:t>
            </w:r>
          </w:p>
        </w:tc>
        <w:tc>
          <w:tcPr>
            <w:tcW w:type="dxa" w:w="2736"/>
          </w:tcPr>
          <w:p>
            <w:r>
              <w:rPr>
                <w:sz w:val="19"/>
              </w:rPr>
              <w:t>$23.00 per employee/month ($28.00 if non-union)</w:t>
            </w:r>
          </w:p>
        </w:tc>
      </w:tr>
      <w:tr>
        <w:tc>
          <w:tcPr>
            <w:tcW w:type="dxa" w:w="7056"/>
          </w:tcPr>
          <w:p>
            <w:r>
              <w:rPr>
                <w:sz w:val="19"/>
              </w:rPr>
              <w:t>Loan Coordination Fee</w:t>
            </w:r>
          </w:p>
        </w:tc>
        <w:tc>
          <w:tcPr>
            <w:tcW w:type="dxa" w:w="2736"/>
          </w:tcPr>
          <w:p>
            <w:r>
              <w:rPr>
                <w:sz w:val="19"/>
              </w:rPr>
              <w:t>1% of loan amount if arranged by Agent, $500.00 otherwise</w:t>
            </w:r>
          </w:p>
        </w:tc>
      </w:tr>
      <w:tr>
        <w:tc>
          <w:tcPr>
            <w:tcW w:type="dxa" w:w="7056"/>
          </w:tcPr>
          <w:p>
            <w:r>
              <w:rPr>
                <w:sz w:val="19"/>
              </w:rPr>
              <w:t>Extraordinary Building Repairs or Alterations</w:t>
            </w:r>
          </w:p>
        </w:tc>
        <w:tc>
          <w:tcPr>
            <w:tcW w:type="dxa" w:w="2736"/>
          </w:tcPr>
          <w:p>
            <w:r>
              <w:rPr>
                <w:sz w:val="19"/>
              </w:rPr>
              <w:t>As mutually agreed, or per insurance proceeds</w:t>
            </w:r>
          </w:p>
        </w:tc>
      </w:tr>
      <w:tr>
        <w:tc>
          <w:tcPr>
            <w:tcW w:type="dxa" w:w="7056"/>
          </w:tcPr>
          <w:p>
            <w:r>
              <w:rPr>
                <w:sz w:val="19"/>
              </w:rPr>
              <w:t>Legal and Administrative Hearings</w:t>
            </w:r>
          </w:p>
        </w:tc>
        <w:tc>
          <w:tcPr>
            <w:tcW w:type="dxa" w:w="2736"/>
          </w:tcPr>
          <w:p>
            <w:r>
              <w:rPr>
                <w:sz w:val="19"/>
              </w:rPr>
              <w:t>$100.00 per hour</w:t>
            </w:r>
          </w:p>
        </w:tc>
      </w:tr>
      <w:tr>
        <w:tc>
          <w:tcPr>
            <w:tcW w:type="dxa" w:w="7056"/>
          </w:tcPr>
          <w:p>
            <w:r>
              <w:rPr>
                <w:sz w:val="19"/>
              </w:rPr>
              <w:t>Board/Annual Meeting Administrative Assistance</w:t>
            </w:r>
          </w:p>
        </w:tc>
        <w:tc>
          <w:tcPr>
            <w:tcW w:type="dxa" w:w="2736"/>
          </w:tcPr>
          <w:p>
            <w:r>
              <w:rPr>
                <w:sz w:val="19"/>
              </w:rPr>
              <w:t>$145.00 per administrative assistant</w:t>
            </w:r>
          </w:p>
        </w:tc>
      </w:tr>
      <w:tr>
        <w:tc>
          <w:tcPr>
            <w:tcW w:type="dxa" w:w="7056"/>
          </w:tcPr>
          <w:p>
            <w:r>
              <w:rPr>
                <w:sz w:val="19"/>
              </w:rPr>
              <w:t>Combined Annual Notices (window guard, lead paint, fire safety)</w:t>
            </w:r>
          </w:p>
        </w:tc>
        <w:tc>
          <w:tcPr>
            <w:tcW w:type="dxa" w:w="2736"/>
          </w:tcPr>
          <w:p>
            <w:r>
              <w:rPr>
                <w:sz w:val="19"/>
              </w:rPr>
              <w:t>$13.00 per unit/year</w:t>
            </w:r>
          </w:p>
        </w:tc>
      </w:tr>
      <w:tr>
        <w:tc>
          <w:tcPr>
            <w:tcW w:type="dxa" w:w="7056"/>
          </w:tcPr>
          <w:p>
            <w:r>
              <w:rPr>
                <w:sz w:val="19"/>
              </w:rPr>
              <w:t>Insurance Certificate Administration (third-party vendor)</w:t>
            </w:r>
          </w:p>
        </w:tc>
        <w:tc>
          <w:tcPr>
            <w:tcW w:type="dxa" w:w="2736"/>
          </w:tcPr>
          <w:p>
            <w:r>
              <w:rPr>
                <w:sz w:val="19"/>
              </w:rPr>
              <w:t>$125.00/year ($70.00 setup)</w:t>
            </w:r>
          </w:p>
        </w:tc>
      </w:tr>
    </w:tbl>
    <w:p>
      <w:pPr>
        <w:spacing w:before="280" w:after="120"/>
        <w:pBdr>
          <w:bottom w:val="single" w:sz="4" w:space="4" w:color="C9A227"/>
        </w:pBdr>
      </w:pPr>
      <w:r>
        <w:rPr>
          <w:rFonts w:ascii="Georgia" w:hAnsi="Georgia"/>
          <w:b/>
          <w:color w:val="162B4D"/>
          <w:sz w:val="26"/>
        </w:rPr>
        <w:t>SCHEDULE C — FEES PAYABLE BY UNIT OWNERS</w:t>
      </w:r>
    </w:p>
    <w:tbl>
      <w:tblPr>
        <w:tblW w:type="auto" w:w="0"/>
        <w:tblLayout w:type="fixed"/>
        <w:tblLook w:firstColumn="1" w:firstRow="1" w:lastColumn="0" w:lastRow="0" w:noHBand="0" w:noVBand="1" w:val="04A0"/>
      </w:tblPr>
      <w:tblGrid>
        <w:gridCol w:w="7056"/>
        <w:gridCol w:w="2736"/>
      </w:tblGrid>
      <w:tr>
        <w:tc>
          <w:tcPr>
            <w:tcW w:type="dxa" w:w="7056"/>
            <w:shd w:val="clear" w:color="auto" w:fill="162B4D"/>
            <w:vAlign w:val="center"/>
          </w:tcPr>
          <w:p>
            <w:r>
              <w:rPr>
                <w:b/>
                <w:color w:val="FFFFFF"/>
                <w:sz w:val="20"/>
              </w:rPr>
              <w:t>Service</w:t>
            </w:r>
          </w:p>
        </w:tc>
        <w:tc>
          <w:tcPr>
            <w:tcW w:type="dxa" w:w="2736"/>
            <w:shd w:val="clear" w:color="auto" w:fill="162B4D"/>
            <w:vAlign w:val="center"/>
          </w:tcPr>
          <w:p>
            <w:r>
              <w:rPr>
                <w:b/>
                <w:color w:val="FFFFFF"/>
                <w:sz w:val="20"/>
              </w:rPr>
              <w:t>Fee</w:t>
            </w:r>
          </w:p>
        </w:tc>
      </w:tr>
      <w:tr>
        <w:tc>
          <w:tcPr>
            <w:tcW w:type="dxa" w:w="7056"/>
          </w:tcPr>
          <w:p>
            <w:r>
              <w:rPr>
                <w:sz w:val="19"/>
              </w:rPr>
              <w:t>Sale or Lease Application (Transfer) Fee</w:t>
            </w:r>
          </w:p>
        </w:tc>
        <w:tc>
          <w:tcPr>
            <w:tcW w:type="dxa" w:w="2736"/>
          </w:tcPr>
          <w:p>
            <w:r>
              <w:rPr>
                <w:sz w:val="19"/>
              </w:rPr>
              <w:t>$600.00</w:t>
            </w:r>
          </w:p>
        </w:tc>
      </w:tr>
      <w:tr>
        <w:tc>
          <w:tcPr>
            <w:tcW w:type="dxa" w:w="7056"/>
          </w:tcPr>
          <w:p>
            <w:r>
              <w:rPr>
                <w:sz w:val="19"/>
              </w:rPr>
              <w:t>Credit and Background Check</w:t>
            </w:r>
          </w:p>
        </w:tc>
        <w:tc>
          <w:tcPr>
            <w:tcW w:type="dxa" w:w="2736"/>
          </w:tcPr>
          <w:p>
            <w:r>
              <w:rPr>
                <w:sz w:val="19"/>
              </w:rPr>
              <w:t>$120.00</w:t>
            </w:r>
          </w:p>
        </w:tc>
      </w:tr>
      <w:tr>
        <w:tc>
          <w:tcPr>
            <w:tcW w:type="dxa" w:w="7056"/>
          </w:tcPr>
          <w:p>
            <w:r>
              <w:rPr>
                <w:sz w:val="19"/>
              </w:rPr>
              <w:t>Renewal Lease to Same Tenant</w:t>
            </w:r>
          </w:p>
        </w:tc>
        <w:tc>
          <w:tcPr>
            <w:tcW w:type="dxa" w:w="2736"/>
          </w:tcPr>
          <w:p>
            <w:r>
              <w:rPr>
                <w:sz w:val="19"/>
              </w:rPr>
              <w:t>$250.00</w:t>
            </w:r>
          </w:p>
        </w:tc>
      </w:tr>
      <w:tr>
        <w:tc>
          <w:tcPr>
            <w:tcW w:type="dxa" w:w="7056"/>
          </w:tcPr>
          <w:p>
            <w:r>
              <w:rPr>
                <w:sz w:val="19"/>
              </w:rPr>
              <w:t>Sale Document Preparation Fee</w:t>
            </w:r>
          </w:p>
        </w:tc>
        <w:tc>
          <w:tcPr>
            <w:tcW w:type="dxa" w:w="2736"/>
          </w:tcPr>
          <w:p>
            <w:r>
              <w:rPr>
                <w:sz w:val="19"/>
              </w:rPr>
              <w:t>$150.00</w:t>
            </w:r>
          </w:p>
        </w:tc>
      </w:tr>
      <w:tr>
        <w:tc>
          <w:tcPr>
            <w:tcW w:type="dxa" w:w="7056"/>
          </w:tcPr>
          <w:p>
            <w:r>
              <w:rPr>
                <w:sz w:val="19"/>
              </w:rPr>
              <w:t>Unit Alterations — Level A (Minor: painting, floor sanding, etc.)</w:t>
            </w:r>
          </w:p>
        </w:tc>
        <w:tc>
          <w:tcPr>
            <w:tcW w:type="dxa" w:w="2736"/>
          </w:tcPr>
          <w:p>
            <w:r>
              <w:rPr>
                <w:sz w:val="19"/>
              </w:rPr>
              <w:t>No charge</w:t>
            </w:r>
          </w:p>
        </w:tc>
      </w:tr>
      <w:tr>
        <w:tc>
          <w:tcPr>
            <w:tcW w:type="dxa" w:w="7056"/>
          </w:tcPr>
          <w:p>
            <w:r>
              <w:rPr>
                <w:sz w:val="19"/>
              </w:rPr>
              <w:t>Unit Alterations — Level B (Partial Renovations, requires architectural/engineering review)</w:t>
            </w:r>
          </w:p>
        </w:tc>
        <w:tc>
          <w:tcPr>
            <w:tcW w:type="dxa" w:w="2736"/>
          </w:tcPr>
          <w:p>
            <w:r>
              <w:rPr>
                <w:sz w:val="19"/>
              </w:rPr>
              <w:t>$350.00</w:t>
            </w:r>
          </w:p>
        </w:tc>
      </w:tr>
      <w:tr>
        <w:tc>
          <w:tcPr>
            <w:tcW w:type="dxa" w:w="7056"/>
          </w:tcPr>
          <w:p>
            <w:r>
              <w:rPr>
                <w:sz w:val="19"/>
              </w:rPr>
              <w:t>Unit Alterations — Level C (Major Renovations)</w:t>
            </w:r>
          </w:p>
        </w:tc>
        <w:tc>
          <w:tcPr>
            <w:tcW w:type="dxa" w:w="2736"/>
          </w:tcPr>
          <w:p>
            <w:r>
              <w:rPr>
                <w:sz w:val="19"/>
              </w:rPr>
              <w:t>$500.00</w:t>
            </w:r>
          </w:p>
        </w:tc>
      </w:tr>
    </w:tbl>
    <w:p>
      <w:pPr>
        <w:spacing w:before="280"/>
      </w:pPr>
      <w:r>
        <w:rPr>
          <w:i/>
          <w:sz w:val="19"/>
        </w:rPr>
        <w:t>Schedule B (Financial Reports) is delivered monthly and includes: Financial Highlights, Budget Comparison Report, General Ledger, Statement of Charges and Collections, Check Register, and Aged Invoice List.</w:t>
      </w:r>
    </w:p>
    <w:p>
      <w:r>
        <w:br w:type="page"/>
      </w:r>
    </w:p>
    <w:p>
      <w:pPr>
        <w:spacing w:before="280" w:after="120"/>
        <w:pBdr>
          <w:bottom w:val="single" w:sz="4" w:space="4" w:color="C9A227"/>
        </w:pBdr>
      </w:pPr>
      <w:r>
        <w:rPr>
          <w:rFonts w:ascii="Georgia" w:hAnsi="Georgia"/>
          <w:b/>
          <w:color w:val="162B4D"/>
          <w:sz w:val="26"/>
        </w:rPr>
        <w:t>SCHEDULE D — CAMELOT'S INSURANCE COVERAGE</w:t>
      </w:r>
    </w:p>
    <w:p>
      <w:pPr>
        <w:spacing w:after="200"/>
      </w:pPr>
      <w:r>
        <w:rPr>
          <w:sz w:val="19"/>
        </w:rPr>
        <w:t>For the Client's and Board's information, Camelot Property Management Services Corp. DBA Camelot Realty Group carries the following lines of insurance as a company. This summary is provided for general informational purposes — it is not a Certificate of Insurance and does not modify, replace, or expand any actual policy. All coverage remains subject to the full terms, conditions, exclusions, and limits of the underlying policies. A formal Certificate of Insurance is available upon request.</w:t>
      </w:r>
    </w:p>
    <w:tbl>
      <w:tblPr>
        <w:tblW w:type="auto" w:w="0"/>
        <w:tblLayout w:type="fixed"/>
        <w:tblLook w:firstColumn="1" w:firstRow="1" w:lastColumn="0" w:lastRow="0" w:noHBand="0" w:noVBand="1" w:val="04A0"/>
      </w:tblPr>
      <w:tblGrid>
        <w:gridCol w:w="1872"/>
        <w:gridCol w:w="2520"/>
        <w:gridCol w:w="1512"/>
        <w:gridCol w:w="2448"/>
        <w:gridCol w:w="1584"/>
      </w:tblGrid>
      <w:tr>
        <w:tc>
          <w:tcPr>
            <w:tcW w:type="dxa" w:w="1872"/>
            <w:shd w:val="clear" w:color="auto" w:fill="162B4D"/>
            <w:vAlign w:val="center"/>
          </w:tcPr>
          <w:p>
            <w:r>
              <w:rPr>
                <w:b/>
                <w:color w:val="FFFFFF"/>
                <w:sz w:val="18"/>
              </w:rPr>
              <w:t>Coverage</w:t>
            </w:r>
          </w:p>
        </w:tc>
        <w:tc>
          <w:tcPr>
            <w:tcW w:type="dxa" w:w="2520"/>
            <w:shd w:val="clear" w:color="auto" w:fill="162B4D"/>
            <w:vAlign w:val="center"/>
          </w:tcPr>
          <w:p>
            <w:r>
              <w:rPr>
                <w:b/>
                <w:color w:val="FFFFFF"/>
                <w:sz w:val="18"/>
              </w:rPr>
              <w:t>Carrier</w:t>
            </w:r>
          </w:p>
        </w:tc>
        <w:tc>
          <w:tcPr>
            <w:tcW w:type="dxa" w:w="1512"/>
            <w:shd w:val="clear" w:color="auto" w:fill="162B4D"/>
            <w:vAlign w:val="center"/>
          </w:tcPr>
          <w:p>
            <w:r>
              <w:rPr>
                <w:b/>
                <w:color w:val="FFFFFF"/>
                <w:sz w:val="18"/>
              </w:rPr>
              <w:t>Policy #</w:t>
            </w:r>
          </w:p>
        </w:tc>
        <w:tc>
          <w:tcPr>
            <w:tcW w:type="dxa" w:w="2448"/>
            <w:shd w:val="clear" w:color="auto" w:fill="162B4D"/>
            <w:vAlign w:val="center"/>
          </w:tcPr>
          <w:p>
            <w:r>
              <w:rPr>
                <w:b/>
                <w:color w:val="FFFFFF"/>
                <w:sz w:val="18"/>
              </w:rPr>
              <w:t>Limits</w:t>
            </w:r>
          </w:p>
        </w:tc>
        <w:tc>
          <w:tcPr>
            <w:tcW w:type="dxa" w:w="1584"/>
            <w:shd w:val="clear" w:color="auto" w:fill="162B4D"/>
            <w:vAlign w:val="center"/>
          </w:tcPr>
          <w:p>
            <w:r>
              <w:rPr>
                <w:b/>
                <w:color w:val="FFFFFF"/>
                <w:sz w:val="18"/>
              </w:rPr>
              <w:t>Term</w:t>
            </w:r>
          </w:p>
        </w:tc>
      </w:tr>
      <w:tr>
        <w:tc>
          <w:tcPr>
            <w:tcW w:type="dxa" w:w="1872"/>
            <w:vAlign w:val="center"/>
          </w:tcPr>
          <w:p>
            <w:r>
              <w:rPr>
                <w:sz w:val="16"/>
              </w:rPr>
              <w:t>Professional Liability (E&amp;O)</w:t>
            </w:r>
          </w:p>
        </w:tc>
        <w:tc>
          <w:tcPr>
            <w:tcW w:type="dxa" w:w="2520"/>
            <w:vAlign w:val="center"/>
          </w:tcPr>
          <w:p>
            <w:r>
              <w:rPr>
                <w:sz w:val="16"/>
              </w:rPr>
              <w:t>Underwriters at Lloyd's, London (Hiscox)</w:t>
            </w:r>
          </w:p>
        </w:tc>
        <w:tc>
          <w:tcPr>
            <w:tcW w:type="dxa" w:w="1512"/>
            <w:vAlign w:val="center"/>
          </w:tcPr>
          <w:p>
            <w:r>
              <w:rPr>
                <w:sz w:val="16"/>
              </w:rPr>
              <w:t>MPL4387044.26</w:t>
            </w:r>
          </w:p>
        </w:tc>
        <w:tc>
          <w:tcPr>
            <w:tcW w:type="dxa" w:w="2448"/>
            <w:vAlign w:val="center"/>
          </w:tcPr>
          <w:p>
            <w:r>
              <w:rPr>
                <w:sz w:val="16"/>
              </w:rPr>
              <w:t>$1,000,000 each claim / $1,000,000 aggregate</w:t>
            </w:r>
          </w:p>
        </w:tc>
        <w:tc>
          <w:tcPr>
            <w:tcW w:type="dxa" w:w="1584"/>
            <w:vAlign w:val="center"/>
          </w:tcPr>
          <w:p>
            <w:r>
              <w:rPr>
                <w:sz w:val="16"/>
              </w:rPr>
              <w:t>2/3/2026 – 2/3/2027</w:t>
            </w:r>
          </w:p>
        </w:tc>
      </w:tr>
      <w:tr>
        <w:tc>
          <w:tcPr>
            <w:tcW w:type="dxa" w:w="1872"/>
            <w:vAlign w:val="center"/>
          </w:tcPr>
          <w:p>
            <w:r>
              <w:rPr>
                <w:sz w:val="16"/>
              </w:rPr>
              <w:t>Employment Practices Liability (EPLI)</w:t>
            </w:r>
          </w:p>
        </w:tc>
        <w:tc>
          <w:tcPr>
            <w:tcW w:type="dxa" w:w="2520"/>
            <w:vAlign w:val="center"/>
          </w:tcPr>
          <w:p>
            <w:r>
              <w:rPr>
                <w:sz w:val="16"/>
              </w:rPr>
              <w:t>Counterpart, Inc. (quota share)</w:t>
            </w:r>
          </w:p>
        </w:tc>
        <w:tc>
          <w:tcPr>
            <w:tcW w:type="dxa" w:w="1512"/>
            <w:vAlign w:val="center"/>
          </w:tcPr>
          <w:p>
            <w:r>
              <w:rPr>
                <w:sz w:val="16"/>
              </w:rPr>
              <w:t>CML-S4ZASV4-P0326</w:t>
            </w:r>
          </w:p>
        </w:tc>
        <w:tc>
          <w:tcPr>
            <w:tcW w:type="dxa" w:w="2448"/>
            <w:vAlign w:val="center"/>
          </w:tcPr>
          <w:p>
            <w:r>
              <w:rPr>
                <w:sz w:val="16"/>
              </w:rPr>
              <w:t>$1,000,000 maximum limit of liability</w:t>
            </w:r>
          </w:p>
        </w:tc>
        <w:tc>
          <w:tcPr>
            <w:tcW w:type="dxa" w:w="1584"/>
            <w:vAlign w:val="center"/>
          </w:tcPr>
          <w:p>
            <w:r>
              <w:rPr>
                <w:sz w:val="16"/>
              </w:rPr>
              <w:t>3/20/2026 – 3/20/2027</w:t>
            </w:r>
          </w:p>
        </w:tc>
      </w:tr>
      <w:tr>
        <w:tc>
          <w:tcPr>
            <w:tcW w:type="dxa" w:w="1872"/>
            <w:vAlign w:val="center"/>
          </w:tcPr>
          <w:p>
            <w:r>
              <w:rPr>
                <w:sz w:val="16"/>
              </w:rPr>
              <w:t>General Liability (Businessowners Policy)</w:t>
            </w:r>
          </w:p>
        </w:tc>
        <w:tc>
          <w:tcPr>
            <w:tcW w:type="dxa" w:w="2520"/>
            <w:vAlign w:val="center"/>
          </w:tcPr>
          <w:p>
            <w:r>
              <w:rPr>
                <w:sz w:val="16"/>
              </w:rPr>
              <w:t>Accredited Surety and Casualty Company</w:t>
            </w:r>
          </w:p>
        </w:tc>
        <w:tc>
          <w:tcPr>
            <w:tcW w:type="dxa" w:w="1512"/>
            <w:vAlign w:val="center"/>
          </w:tcPr>
          <w:p>
            <w:r>
              <w:rPr>
                <w:sz w:val="16"/>
              </w:rPr>
              <w:t>1ABPNY05135259201</w:t>
            </w:r>
          </w:p>
        </w:tc>
        <w:tc>
          <w:tcPr>
            <w:tcW w:type="dxa" w:w="2448"/>
            <w:vAlign w:val="center"/>
          </w:tcPr>
          <w:p>
            <w:r>
              <w:rPr>
                <w:sz w:val="16"/>
              </w:rPr>
              <w:t>$1,000,000 each occurrence / $2,000,000 general aggregate</w:t>
            </w:r>
          </w:p>
        </w:tc>
        <w:tc>
          <w:tcPr>
            <w:tcW w:type="dxa" w:w="1584"/>
            <w:vAlign w:val="center"/>
          </w:tcPr>
          <w:p>
            <w:r>
              <w:rPr>
                <w:sz w:val="16"/>
              </w:rPr>
              <w:t>11/1/2024 – 11/1/2025 *</w:t>
            </w:r>
          </w:p>
        </w:tc>
      </w:tr>
      <w:tr>
        <w:tc>
          <w:tcPr>
            <w:tcW w:type="dxa" w:w="1872"/>
            <w:vAlign w:val="center"/>
          </w:tcPr>
          <w:p>
            <w:r>
              <w:rPr>
                <w:sz w:val="16"/>
              </w:rPr>
              <w:t>Fidelity / Employee Dishonesty Bond</w:t>
            </w:r>
          </w:p>
        </w:tc>
        <w:tc>
          <w:tcPr>
            <w:tcW w:type="dxa" w:w="2520"/>
            <w:vAlign w:val="center"/>
          </w:tcPr>
          <w:p>
            <w:r>
              <w:rPr>
                <w:sz w:val="16"/>
              </w:rPr>
              <w:t>The Ohio Casualty Insurance Company (Liberty Mutual)</w:t>
            </w:r>
          </w:p>
        </w:tc>
        <w:tc>
          <w:tcPr>
            <w:tcW w:type="dxa" w:w="1512"/>
            <w:vAlign w:val="center"/>
          </w:tcPr>
          <w:p>
            <w:r>
              <w:rPr>
                <w:sz w:val="16"/>
              </w:rPr>
              <w:t>948949334</w:t>
            </w:r>
          </w:p>
        </w:tc>
        <w:tc>
          <w:tcPr>
            <w:tcW w:type="dxa" w:w="2448"/>
            <w:vAlign w:val="center"/>
          </w:tcPr>
          <w:p>
            <w:r>
              <w:rPr>
                <w:sz w:val="16"/>
              </w:rPr>
              <w:t>$1,000,000</w:t>
            </w:r>
          </w:p>
        </w:tc>
        <w:tc>
          <w:tcPr>
            <w:tcW w:type="dxa" w:w="1584"/>
            <w:vAlign w:val="center"/>
          </w:tcPr>
          <w:p>
            <w:r>
              <w:rPr>
                <w:sz w:val="16"/>
              </w:rPr>
              <w:t>Eff. 5/29/2025, continuous</w:t>
            </w:r>
          </w:p>
        </w:tc>
      </w:tr>
      <w:tr>
        <w:tc>
          <w:tcPr>
            <w:tcW w:type="dxa" w:w="1872"/>
            <w:vAlign w:val="center"/>
          </w:tcPr>
          <w:p>
            <w:r>
              <w:rPr>
                <w:sz w:val="16"/>
              </w:rPr>
              <w:t>Cyber Liability</w:t>
            </w:r>
          </w:p>
        </w:tc>
        <w:tc>
          <w:tcPr>
            <w:tcW w:type="dxa" w:w="2520"/>
            <w:vAlign w:val="center"/>
          </w:tcPr>
          <w:p>
            <w:r>
              <w:rPr>
                <w:sz w:val="16"/>
              </w:rPr>
              <w:t>Technology Insurance Company (AmTrust)</w:t>
            </w:r>
          </w:p>
        </w:tc>
        <w:tc>
          <w:tcPr>
            <w:tcW w:type="dxa" w:w="1512"/>
            <w:vAlign w:val="center"/>
          </w:tcPr>
          <w:p>
            <w:r>
              <w:rPr>
                <w:sz w:val="16"/>
              </w:rPr>
              <w:t>TCL1741067 01</w:t>
            </w:r>
          </w:p>
        </w:tc>
        <w:tc>
          <w:tcPr>
            <w:tcW w:type="dxa" w:w="2448"/>
            <w:vAlign w:val="center"/>
          </w:tcPr>
          <w:p>
            <w:r>
              <w:rPr>
                <w:sz w:val="16"/>
              </w:rPr>
              <w:t>$1,000,000 aggregate</w:t>
            </w:r>
          </w:p>
        </w:tc>
        <w:tc>
          <w:tcPr>
            <w:tcW w:type="dxa" w:w="1584"/>
            <w:vAlign w:val="center"/>
          </w:tcPr>
          <w:p>
            <w:r>
              <w:rPr>
                <w:sz w:val="16"/>
              </w:rPr>
              <w:t>~3/18/2025 – 3/18/2026 *</w:t>
            </w:r>
          </w:p>
        </w:tc>
      </w:tr>
    </w:tbl>
    <w:p>
      <w:pPr>
        <w:spacing w:before="200"/>
        <w:shd w:val="clear" w:color="auto" w:fill="FBEAEA"/>
      </w:pPr>
      <w:r>
        <w:rPr>
          <w:i/>
          <w:color w:val="A32A2A"/>
          <w:sz w:val="17"/>
        </w:rPr>
        <w:t>* General Liability and Cyber Liability are shown as reflected in the most recent policy documents on file. Confirm current renewal status with the broker before circulating this exhibit externally.</w:t>
      </w:r>
    </w:p>
    <w:sectPr w:rsidR="00FC693F" w:rsidRPr="0006063C" w:rsidSect="00034616">
      <w:headerReference w:type="default" r:id="rId9"/>
      <w:footerReference w:type="default" r:id="rId10"/>
      <w:pgSz w:w="12240" w:h="15840"/>
      <w:pgMar w:top="1872" w:right="1296" w:bottom="158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jc w:val="center"/>
      <w:pBdr>
        <w:top w:val="single" w:sz="6" w:space="4" w:color="C9A227"/>
      </w:pBdr>
    </w:pPr>
    <w:r>
      <w:rPr>
        <w:rFonts w:ascii="Georgia" w:hAnsi="Georgia"/>
        <w:color w:val="666666"/>
        <w:sz w:val="15"/>
      </w:rPr>
      <w:t>57 West 57th Street, Suite 410, New York, NY 10019   ·   (212) 206-9939   ·   info@camelot.nyc   ·   www.camelot.nyc</w:t>
    </w:r>
  </w:p>
  <w:p>
    <w:pPr>
      <w:jc w:val="center"/>
    </w:pPr>
    <w:r>
      <w:rPr>
        <w:color w:val="999999"/>
        <w:sz w:val="14"/>
      </w:rPr>
      <w:t xml:space="preserve">CONFIDENTIAL — TEMPLATE FOR INTERNAL USE  ·  Page </w:t>
    </w:r>
    <w:r>
      <w:fldChar w:fldCharType="begin"/>
      <w:instrText xml:space="preserve"> PAGE </w:instrText>
      <w:fldChar w:fldCharType="separate"/>
      <w:fldChar w:fldCharType="end"/>
    </w:r>
    <w:r>
      <w:rPr>
        <w:color w:val="999999"/>
        <w:sz w:val="14"/>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864"/>
      <w:gridCol w:w="5760"/>
    </w:tblGrid>
    <w:tr>
      <w:tc>
        <w:tcPr>
          <w:tcW w:type="dxa" w:w="864"/>
          <w:vAlign w:val="center"/>
        </w:tcPr>
        <w:p>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camelot-gold-logo.png"/>
                        <pic:cNvPicPr/>
                      </pic:nvPicPr>
                      <pic:blipFill>
                        <a:blip r:embed="rId1"/>
                        <a:stretch>
                          <a:fillRect/>
                        </a:stretch>
                      </pic:blipFill>
                      <pic:spPr>
                        <a:xfrm>
                          <a:off x="0" y="0"/>
                          <a:ext cx="384048" cy="384048"/>
                        </a:xfrm>
                        <a:prstGeom prst="rect"/>
                      </pic:spPr>
                    </pic:pic>
                  </a:graphicData>
                </a:graphic>
              </wp:inline>
            </w:drawing>
          </w:r>
        </w:p>
      </w:tc>
      <w:tc>
        <w:tcPr>
          <w:tcW w:type="dxa" w:w="5760"/>
          <w:vAlign w:val="center"/>
        </w:tcPr>
        <w:p>
          <w:pPr>
            <w:spacing w:after="20"/>
            <w:jc w:val="left"/>
          </w:pPr>
          <w:r>
            <w:rPr>
              <w:rFonts w:ascii="Georgia" w:hAnsi="Georgia"/>
              <w:b/>
              <w:color w:val="162B4D"/>
              <w:sz w:val="24"/>
            </w:rPr>
            <w:t>CAMELOT REALTY GROUP</w:t>
          </w:r>
        </w:p>
        <w:p>
          <w:pPr>
            <w:spacing w:after="20"/>
            <w:jc w:val="left"/>
          </w:pPr>
          <w:r>
            <w:rPr>
              <w:rFonts w:ascii="Georgia" w:hAnsi="Georgia"/>
              <w:color w:val="666666"/>
              <w:sz w:val="13"/>
            </w:rPr>
            <w:t>REAL ESTATE · PROPERTY MGMT · BROKERAGE · INVESTMENT SERVICES</w:t>
          </w:r>
        </w:p>
        <w:p>
          <w:pPr>
            <w:spacing w:after="0"/>
            <w:jc w:val="left"/>
          </w:pPr>
          <w:r>
            <w:rPr>
              <w:rFonts w:ascii="Georgia" w:hAnsi="Georgia"/>
              <w:i/>
              <w:color w:val="C9A227"/>
              <w:sz w:val="18"/>
            </w:rPr>
            <w:t xml:space="preserve">New Yorkers Working for New Yorkers  </w:t>
          </w:r>
          <w:r>
            <w:rPr>
              <w:rFonts w:ascii="Georgia" w:hAnsi="Georgia"/>
              <w:color w:val="000000"/>
              <w:sz w:val="16"/>
            </w:rPr>
            <w:t>EST. 2006</w:t>
          </w:r>
        </w:p>
      </w:tc>
    </w:tr>
  </w:tbl>
  <w:p>
    <w:pPr>
      <w:spacing w:before="80" w:after="80"/>
      <w:pBdr>
        <w:bottom w:val="single" w:sz="6" w:space="4"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