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60"/>
        <w:jc w:val="center"/>
      </w:pPr>
      <w:r>
        <w:rPr>
          <w:rFonts w:ascii="Georgia" w:hAnsi="Georgia"/>
          <w:b/>
          <w:color w:val="162B4D"/>
          <w:sz w:val="34"/>
        </w:rPr>
        <w:t>MONTHLY MANAGEMENT REPORT — COVER SHEET</w:t>
      </w:r>
    </w:p>
    <w:p>
      <w:pPr>
        <w:spacing w:after="320"/>
        <w:jc w:val="center"/>
        <w:shd w:val="clear" w:color="auto" w:fill="F2E8C9"/>
      </w:pPr>
      <w:r>
        <w:rPr>
          <w:i/>
          <w:color w:val="162B4D"/>
          <w:sz w:val="18"/>
        </w:rPr>
        <w:t>Attach ahead of the full financial package (Financial Highlights, Budget Comparison, General Ledger, Statement of Charges &amp; Collections, Check Register, Aged Invoice List).</w:t>
      </w:r>
    </w:p>
    <w:p>
      <w:pPr>
        <w:spacing w:before="280" w:after="120"/>
        <w:pBdr>
          <w:bottom w:val="single" w:sz="4" w:space="4" w:color="C9A227"/>
        </w:pBdr>
      </w:pPr>
      <w:r>
        <w:rPr>
          <w:rFonts w:ascii="Georgia" w:hAnsi="Georgia"/>
          <w:b/>
          <w:color w:val="162B4D"/>
          <w:sz w:val="26"/>
        </w:rPr>
        <w:t>REPORT SUMMARY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3168"/>
            <w:shd w:val="clear" w:color="auto" w:fill="F2E8C9"/>
            <w:vAlign w:val="center"/>
          </w:tcPr>
          <w:p>
            <w:r>
              <w:rPr>
                <w:b/>
                <w:sz w:val="19"/>
              </w:rPr>
              <w:t>Property</w:t>
            </w:r>
          </w:p>
        </w:tc>
        <w:tc>
          <w:tcPr>
            <w:tcW w:type="dxa" w:w="6624"/>
            <w:vAlign w:val="center"/>
          </w:tcPr>
          <w:p>
            <w:pPr>
              <w:spacing w:after="40"/>
            </w:pPr>
            <w:r>
              <w:rPr>
                <w:sz w:val="19"/>
              </w:rPr>
              <w:t>{property}</w:t>
            </w:r>
          </w:p>
        </w:tc>
      </w:tr>
      <w:tr>
        <w:tc>
          <w:tcPr>
            <w:tcW w:type="dxa" w:w="3168"/>
            <w:shd w:val="clear" w:color="auto" w:fill="F2E8C9"/>
            <w:vAlign w:val="center"/>
          </w:tcPr>
          <w:p>
            <w:r>
              <w:rPr>
                <w:b/>
                <w:sz w:val="19"/>
              </w:rPr>
              <w:t>Reporting Month</w:t>
            </w:r>
          </w:p>
        </w:tc>
        <w:tc>
          <w:tcPr>
            <w:tcW w:type="dxa" w:w="6624"/>
            <w:vAlign w:val="center"/>
          </w:tcPr>
          <w:p>
            <w:pPr>
              <w:spacing w:after="40"/>
            </w:pPr>
            <w:r>
              <w:rPr>
                <w:sz w:val="19"/>
              </w:rPr>
              <w:t>{reporting_month}</w:t>
            </w:r>
          </w:p>
        </w:tc>
      </w:tr>
      <w:tr>
        <w:tc>
          <w:tcPr>
            <w:tcW w:type="dxa" w:w="3168"/>
            <w:shd w:val="clear" w:color="auto" w:fill="F2E8C9"/>
            <w:vAlign w:val="center"/>
          </w:tcPr>
          <w:p>
            <w:r>
              <w:rPr>
                <w:b/>
                <w:sz w:val="19"/>
              </w:rPr>
              <w:t>Financial Highlights</w:t>
            </w:r>
          </w:p>
        </w:tc>
        <w:tc>
          <w:tcPr>
            <w:tcW w:type="dxa" w:w="6624"/>
            <w:vAlign w:val="center"/>
          </w:tcPr>
          <w:p>
            <w:pPr>
              <w:spacing w:after="40"/>
            </w:pPr>
            <w:r>
              <w:rPr>
                <w:sz w:val="19"/>
              </w:rPr>
              <w:t>{financial_highlights}</w:t>
            </w:r>
          </w:p>
        </w:tc>
      </w:tr>
      <w:tr>
        <w:tc>
          <w:tcPr>
            <w:tcW w:type="dxa" w:w="3168"/>
            <w:shd w:val="clear" w:color="auto" w:fill="F2E8C9"/>
            <w:vAlign w:val="center"/>
          </w:tcPr>
          <w:p>
            <w:r>
              <w:rPr>
                <w:b/>
                <w:sz w:val="19"/>
              </w:rPr>
              <w:t>Occupancy / Arrears Summary</w:t>
            </w:r>
          </w:p>
        </w:tc>
        <w:tc>
          <w:tcPr>
            <w:tcW w:type="dxa" w:w="6624"/>
            <w:vAlign w:val="center"/>
          </w:tcPr>
          <w:p>
            <w:pPr>
              <w:spacing w:after="40"/>
            </w:pPr>
            <w:r>
              <w:rPr>
                <w:sz w:val="19"/>
              </w:rPr>
              <w:t>{occupancy_arrears_summary}</w:t>
            </w:r>
          </w:p>
        </w:tc>
      </w:tr>
      <w:tr>
        <w:tc>
          <w:tcPr>
            <w:tcW w:type="dxa" w:w="3168"/>
            <w:shd w:val="clear" w:color="auto" w:fill="F2E8C9"/>
            <w:vAlign w:val="center"/>
          </w:tcPr>
          <w:p>
            <w:r>
              <w:rPr>
                <w:b/>
                <w:sz w:val="19"/>
              </w:rPr>
              <w:t>Capital Projects Status</w:t>
            </w:r>
          </w:p>
        </w:tc>
        <w:tc>
          <w:tcPr>
            <w:tcW w:type="dxa" w:w="6624"/>
            <w:vAlign w:val="center"/>
          </w:tcPr>
          <w:p>
            <w:pPr>
              <w:spacing w:after="40"/>
            </w:pPr>
            <w:r>
              <w:rPr>
                <w:sz w:val="19"/>
              </w:rPr>
              <w:t xml:space="preserve"> </w:t>
            </w:r>
          </w:p>
          <w:p>
            <w:pPr>
              <w:spacing w:after="40"/>
            </w:pPr>
            <w:r>
              <w:rPr>
                <w:sz w:val="19"/>
              </w:rPr>
              <w:t xml:space="preserve"> </w:t>
            </w:r>
          </w:p>
          <w:p>
            <w:pPr>
              <w:spacing w:after="40"/>
            </w:pPr>
            <w:r>
              <w:rPr>
                <w:sz w:val="19"/>
              </w:rPr>
              <w:t xml:space="preserve"> </w:t>
            </w:r>
          </w:p>
        </w:tc>
      </w:tr>
    </w:tbl>
    <w:p>
      <w:pPr>
        <w:spacing w:before="280" w:after="120"/>
        <w:pBdr>
          <w:bottom w:val="single" w:sz="4" w:space="4" w:color="C9A227"/>
        </w:pBdr>
      </w:pPr>
      <w:r>
        <w:rPr>
          <w:rFonts w:ascii="Georgia" w:hAnsi="Georgia"/>
          <w:b/>
          <w:color w:val="162B4D"/>
          <w:sz w:val="26"/>
        </w:rPr>
        <w:t>PREPARED BY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3168"/>
            <w:shd w:val="clear" w:color="auto" w:fill="F2E8C9"/>
            <w:vAlign w:val="center"/>
          </w:tcPr>
          <w:p>
            <w:r>
              <w:rPr>
                <w:b/>
                <w:sz w:val="19"/>
              </w:rPr>
              <w:t>Prepared By</w:t>
            </w:r>
          </w:p>
        </w:tc>
        <w:tc>
          <w:tcPr>
            <w:tcW w:type="dxa" w:w="6624"/>
            <w:vAlign w:val="center"/>
          </w:tcPr>
          <w:p>
            <w:pPr>
              <w:spacing w:after="40"/>
            </w:pPr>
            <w:r>
              <w:rPr>
                <w:sz w:val="19"/>
              </w:rPr>
              <w:t xml:space="preserve"> </w:t>
            </w:r>
          </w:p>
        </w:tc>
      </w:tr>
      <w:tr>
        <w:tc>
          <w:tcPr>
            <w:tcW w:type="dxa" w:w="3168"/>
            <w:shd w:val="clear" w:color="auto" w:fill="F2E8C9"/>
            <w:vAlign w:val="center"/>
          </w:tcPr>
          <w:p>
            <w:r>
              <w:rPr>
                <w:b/>
                <w:sz w:val="19"/>
              </w:rPr>
              <w:t>Date</w:t>
            </w:r>
          </w:p>
        </w:tc>
        <w:tc>
          <w:tcPr>
            <w:tcW w:type="dxa" w:w="6624"/>
            <w:vAlign w:val="center"/>
          </w:tcPr>
          <w:p>
            <w:pPr>
              <w:spacing w:after="40"/>
            </w:pPr>
            <w:r>
              <w:rPr>
                <w:sz w:val="19"/>
              </w:rPr>
              <w:t xml:space="preserve"> 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872" w:right="1296" w:bottom="1584" w:left="1296" w:header="576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80"/>
      <w:jc w:val="center"/>
      <w:pBdr>
        <w:top w:val="single" w:sz="6" w:space="4" w:color="C9A227"/>
      </w:pBdr>
    </w:pPr>
    <w:r>
      <w:rPr>
        <w:rFonts w:ascii="Georgia" w:hAnsi="Georgia"/>
        <w:color w:val="666666"/>
        <w:sz w:val="15"/>
      </w:rPr>
      <w:t>57 West 57th Street, Suite 410, New York, NY 10019   ·   (212) 206-9939   ·   info@camelot.nyc   ·   www.camelot.nyc</w:t>
    </w:r>
  </w:p>
  <w:p>
    <w:pPr>
      <w:jc w:val="center"/>
    </w:pPr>
    <w:r>
      <w:rPr>
        <w:color w:val="999999"/>
        <w:sz w:val="14"/>
      </w:rPr>
      <w:t xml:space="preserve">CONFIDENTIAL — TEMPLATE FOR INTERNAL USE  ·  Page </w:t>
    </w:r>
    <w:r>
      <w:fldChar w:fldCharType="begin"/>
      <w:instrText xml:space="preserve"> PAGE </w:instrText>
      <w:fldChar w:fldCharType="separate"/>
      <w:fldChar w:fldCharType="end"/>
    </w:r>
    <w:r>
      <w:rPr>
        <w:color w:val="999999"/>
        <w:sz w:val="14"/>
      </w:rPr>
      <w:t xml:space="preserve"> of </w:t>
    </w:r>
    <w:r>
      <w:fldChar w:fldCharType="begin"/>
      <w:instrText xml:space="preserve"> NUMPAGES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864"/>
      <w:gridCol w:w="5760"/>
    </w:tblGrid>
    <w:tr>
      <w:tc>
        <w:tcPr>
          <w:tcW w:type="dxa" w:w="864"/>
          <w:vAlign w:val="center"/>
        </w:tcPr>
        <w:p>
          <w:pPr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384048" cy="384048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camelot-gold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4048" cy="384048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5760"/>
          <w:vAlign w:val="center"/>
        </w:tcPr>
        <w:p>
          <w:pPr>
            <w:spacing w:after="20"/>
            <w:jc w:val="left"/>
          </w:pPr>
          <w:r>
            <w:rPr>
              <w:rFonts w:ascii="Georgia" w:hAnsi="Georgia"/>
              <w:b/>
              <w:color w:val="162B4D"/>
              <w:sz w:val="24"/>
            </w:rPr>
            <w:t>CAMELOT REALTY GROUP</w:t>
          </w:r>
        </w:p>
        <w:p>
          <w:pPr>
            <w:spacing w:after="20"/>
            <w:jc w:val="left"/>
          </w:pPr>
          <w:r>
            <w:rPr>
              <w:rFonts w:ascii="Georgia" w:hAnsi="Georgia"/>
              <w:color w:val="666666"/>
              <w:sz w:val="13"/>
            </w:rPr>
            <w:t>REAL ESTATE · PROPERTY MGMT · BROKERAGE · INVESTMENT SERVICES</w:t>
          </w:r>
        </w:p>
        <w:p>
          <w:pPr>
            <w:spacing w:after="0"/>
            <w:jc w:val="left"/>
          </w:pPr>
          <w:r>
            <w:rPr>
              <w:rFonts w:ascii="Georgia" w:hAnsi="Georgia"/>
              <w:i/>
              <w:color w:val="C9A227"/>
              <w:sz w:val="18"/>
            </w:rPr>
            <w:t xml:space="preserve">New Yorkers Working for New Yorkers  </w:t>
          </w:r>
          <w:r>
            <w:rPr>
              <w:rFonts w:ascii="Georgia" w:hAnsi="Georgia"/>
              <w:color w:val="000000"/>
              <w:sz w:val="16"/>
            </w:rPr>
            <w:t>EST. 2006</w:t>
          </w:r>
        </w:p>
      </w:tc>
    </w:tr>
  </w:tbl>
  <w:p>
    <w:pPr>
      <w:spacing w:before="80" w:after="80"/>
      <w:pBdr>
        <w:bottom w:val="single" w:sz="6" w:space="4" w:color="C9A227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