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RENTAL APPLICATION — 165 EAST 62ND STREET CONDOMINIUM</w:t>
      </w:r>
    </w:p>
    <w:p>
      <w:pPr>
        <w:spacing w:after="320"/>
        <w:jc w:val="center"/>
        <w:shd w:val="clear" w:color="auto" w:fill="F2E8C9"/>
      </w:pPr>
      <w:r>
        <w:rPr>
          <w:i/>
          <w:color w:val="162B4D"/>
          <w:sz w:val="18"/>
        </w:rPr>
        <w:t>Updated Jan 2022 package, refreshed 2026: rebranded, FARE Act–compliant broker language, and a stated fee schedule benchmarked to current NYC condo/co-op rental market rates. Application must be completed in its entirety. Incomplete packages will not be processed and will be returned.</w:t>
      </w:r>
    </w:p>
    <w:p>
      <w:r>
        <w:rPr>
          <w:sz w:val="19"/>
        </w:rPr>
        <w:t>Please submit one (1) complete original set to: Camelot Property Management Services Corp., 57 West 57th Street, Suite 410, New York, NY 10019, Attn: Danielle Milia. Questions may be directed to your property manager, Danielle Milia, at (212) 206-9939 or danielle@camelot.nyc.</w:t>
      </w:r>
    </w:p>
    <w:p>
      <w:pPr>
        <w:spacing w:before="160" w:after="200"/>
        <w:shd w:val="clear" w:color="auto" w:fill="FBEAEA"/>
      </w:pPr>
      <w:r>
        <w:rPr>
          <w:i/>
          <w:color w:val="A32A2A"/>
          <w:sz w:val="17"/>
        </w:rPr>
        <w:t>Compliance note: this package has been updated to reflect the FARE Act (effective June 11, 2025). A broker may not charge a rental applicant a broker fee unless the applicant directly hired that broker. Any broker fee referenced below applies only where the applicant retained their own broker.</w:t>
      </w:r>
    </w:p>
    <w:p>
      <w:pPr>
        <w:spacing w:before="280" w:after="120"/>
        <w:pBdr>
          <w:bottom w:val="single" w:sz="4" w:space="4" w:color="C9A227"/>
        </w:pBdr>
      </w:pPr>
      <w:r>
        <w:rPr>
          <w:rFonts w:ascii="Georgia" w:hAnsi="Georgia"/>
          <w:b/>
          <w:color w:val="162B4D"/>
          <w:sz w:val="26"/>
        </w:rPr>
        <w:t>RENTAL APPLICATION</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Date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Landlord's Broker Name &amp; Tel.</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Tenant's Broker Name &amp; Tel.</w:t>
              <w:br/>
              <w:t>(if applicant retained their own broker — see FARE Act note above)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Broker Company &amp; Address</w:t>
            </w:r>
          </w:p>
        </w:tc>
        <w:tc>
          <w:tcPr>
            <w:tcW w:type="dxa" w:w="6336"/>
            <w:vAlign w:val="center"/>
          </w:tcPr>
          <w:p>
            <w:pPr>
              <w:spacing w:after="40"/>
            </w:pPr>
            <w:r>
              <w:rPr>
                <w:sz w:val="19"/>
              </w:rPr>
              <w:t xml:space="preserve"> </w:t>
            </w:r>
          </w:p>
          <w:p>
            <w:pPr>
              <w:spacing w:after="40"/>
            </w:pPr>
            <w:r>
              <w:rPr>
                <w:sz w:val="19"/>
              </w:rPr>
              <w:t xml:space="preserve"> </w:t>
            </w:r>
          </w:p>
        </w:tc>
      </w:tr>
      <w:tr>
        <w:tc>
          <w:tcPr>
            <w:tcW w:type="dxa" w:w="3456"/>
            <w:shd w:val="clear" w:color="auto" w:fill="F2E8C9"/>
            <w:vAlign w:val="center"/>
          </w:tcPr>
          <w:p>
            <w:r>
              <w:rPr>
                <w:b/>
                <w:sz w:val="19"/>
              </w:rPr>
              <w:t>Property Address / Apt.-Unit No.</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Rental Price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Estimated Lease Start Date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Unit Owner Name &amp; Telephone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Applicant's Current Address</w:t>
            </w:r>
          </w:p>
        </w:tc>
        <w:tc>
          <w:tcPr>
            <w:tcW w:type="dxa" w:w="6336"/>
            <w:vAlign w:val="center"/>
          </w:tcPr>
          <w:p>
            <w:pPr>
              <w:spacing w:after="40"/>
            </w:pPr>
            <w:r>
              <w:rPr>
                <w:sz w:val="19"/>
              </w:rPr>
              <w:t xml:space="preserve"> </w:t>
            </w:r>
          </w:p>
          <w:p>
            <w:pPr>
              <w:spacing w:after="40"/>
            </w:pPr>
            <w:r>
              <w:rPr>
                <w:sz w:val="19"/>
              </w:rPr>
              <w:t xml:space="preserve"> </w:t>
            </w:r>
          </w:p>
        </w:tc>
      </w:tr>
      <w:tr>
        <w:tc>
          <w:tcPr>
            <w:tcW w:type="dxa" w:w="3456"/>
            <w:shd w:val="clear" w:color="auto" w:fill="F2E8C9"/>
            <w:vAlign w:val="center"/>
          </w:tcPr>
          <w:p>
            <w:r>
              <w:rPr>
                <w:b/>
                <w:sz w:val="19"/>
              </w:rPr>
              <w:t>Unit Owner's Forwarding Address &amp; Telephone</w:t>
            </w:r>
          </w:p>
        </w:tc>
        <w:tc>
          <w:tcPr>
            <w:tcW w:type="dxa" w:w="6336"/>
            <w:vAlign w:val="center"/>
          </w:tcPr>
          <w:p>
            <w:pPr>
              <w:spacing w:after="40"/>
            </w:pPr>
            <w:r>
              <w:rPr>
                <w:sz w:val="19"/>
              </w:rPr>
              <w:t xml:space="preserve"> </w:t>
            </w:r>
          </w:p>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APPLICANT INFORMATION</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Applicant's Name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Social Security #</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Date of Birth</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Present Address</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Telephone #</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Current Monthly Rent Payment</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Email Address</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Name of Employer / Tel.</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Employer Address</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Nature of Business / Position Held</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Annual Income / Length of Employment</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Previous Employer (if less than 2 years at current)</w:t>
            </w:r>
          </w:p>
        </w:tc>
        <w:tc>
          <w:tcPr>
            <w:tcW w:type="dxa" w:w="6336"/>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CO-APPLICANT INFORMATION (IF APPLICABLE)</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Co-Applicant's Name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Social Security #</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Date of Birth</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Present Address</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Telephone # / Monthly Rent or Mortgage Payment</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Name of Employer / Tel.</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Nature of Business / Position Held</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Annual Income / Length of Employment</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Previous Employer (if less than 2 years at current)</w:t>
            </w:r>
          </w:p>
        </w:tc>
        <w:tc>
          <w:tcPr>
            <w:tcW w:type="dxa" w:w="6336"/>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EMERGENCY CONTACTS &amp; OCCUPANCY</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In Case of Emergency — Two (2) Friends or Relatives (Name, Address, Tel.)</w:t>
            </w:r>
          </w:p>
        </w:tc>
        <w:tc>
          <w:tcPr>
            <w:tcW w:type="dxa" w:w="6336"/>
            <w:vAlign w:val="center"/>
          </w:tcPr>
          <w:p>
            <w:pPr>
              <w:spacing w:after="40"/>
            </w:pPr>
            <w:r>
              <w:rPr>
                <w:sz w:val="19"/>
              </w:rPr>
              <w:t xml:space="preserve"> </w:t>
            </w:r>
          </w:p>
          <w:p>
            <w:pPr>
              <w:spacing w:after="40"/>
            </w:pPr>
            <w:r>
              <w:rPr>
                <w:sz w:val="19"/>
              </w:rPr>
              <w:t xml:space="preserve"> </w:t>
            </w:r>
          </w:p>
          <w:p>
            <w:pPr>
              <w:spacing w:after="40"/>
            </w:pPr>
            <w:r>
              <w:rPr>
                <w:sz w:val="19"/>
              </w:rPr>
              <w:t xml:space="preserve"> </w:t>
            </w:r>
          </w:p>
        </w:tc>
      </w:tr>
      <w:tr>
        <w:tc>
          <w:tcPr>
            <w:tcW w:type="dxa" w:w="3456"/>
            <w:shd w:val="clear" w:color="auto" w:fill="F2E8C9"/>
            <w:vAlign w:val="center"/>
          </w:tcPr>
          <w:p>
            <w:r>
              <w:rPr>
                <w:b/>
                <w:sz w:val="19"/>
              </w:rPr>
              <w:t>Number of Adults / Children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Pets (Y/N, type, breed, weight)</w:t>
            </w:r>
          </w:p>
        </w:tc>
        <w:tc>
          <w:tcPr>
            <w:tcW w:type="dxa" w:w="6336"/>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CREDIT RELEASE AUTHORIZATION</w:t>
      </w:r>
    </w:p>
    <w:p>
      <w:pPr>
        <w:spacing w:after="160"/>
        <w:jc w:val="both"/>
      </w:pPr>
      <w:r>
        <w:t>In order for you to comply with the provisions of Section 606 of the Fair Credit Reporting Act, I authorize you to retain a Credit Reporting Agency, which agency may obtain and furnish information on my character, general reputation, personal characteristics, and mode of living. I understand that upon request, I am entitled to a disclosure of the nature and scope of the investigation to be requested by you and by said Credit Reporting Agency.</w:t>
      </w:r>
    </w:p>
    <w:p>
      <w:pPr>
        <w:spacing w:after="160"/>
        <w:jc w:val="both"/>
      </w:pPr>
      <w:r>
        <w:t>By signing below, I/We authorize Camelot Property Management Services Corp. to obtain credit reports on me/us, conducted by any source used by Camelot Property Management Services Corp., for the purpose of verifying information on me/us in connection with a lease, sublet, or purchase of an apartment.</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Applicant's Name / Social Security #</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Co-Applicant's Name / Social Security #</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Apt. / Unit #</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Applicant Signature / Date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Co-Applicant Signature / Date</w:t>
            </w:r>
          </w:p>
        </w:tc>
        <w:tc>
          <w:tcPr>
            <w:tcW w:type="dxa" w:w="6336"/>
            <w:vAlign w:val="center"/>
          </w:tcPr>
          <w:p>
            <w:pPr>
              <w:spacing w:after="40"/>
            </w:pPr>
            <w:r>
              <w:rPr>
                <w:sz w:val="19"/>
              </w:rPr>
              <w:t xml:space="preserve"> </w:t>
            </w:r>
          </w:p>
        </w:tc>
      </w:tr>
    </w:tbl>
    <w:p>
      <w:r>
        <w:br w:type="page"/>
      </w:r>
    </w:p>
    <w:p>
      <w:pPr>
        <w:spacing w:before="280" w:after="120"/>
        <w:pBdr>
          <w:bottom w:val="single" w:sz="4" w:space="4" w:color="C9A227"/>
        </w:pBdr>
      </w:pPr>
      <w:r>
        <w:rPr>
          <w:rFonts w:ascii="Georgia" w:hAnsi="Georgia"/>
          <w:b/>
          <w:color w:val="162B4D"/>
          <w:sz w:val="26"/>
        </w:rPr>
        <w:t>RENTAL PACKAGE FEE SCHEDULE</w:t>
      </w:r>
    </w:p>
    <w:p>
      <w:pPr>
        <w:spacing w:after="160"/>
      </w:pPr>
      <w:r>
        <w:rPr>
          <w:sz w:val="19"/>
        </w:rPr>
        <w:t>The fees below replace the prior undefined “per occurrence, per the by-laws” language and reflect Camelot's standard Ancillary Fee Schedule, benchmarked against current NYC condo/co-op rental market practice (sources: Hauseit, StreetEasy, and REBNY-area published guidance, 2025–2026). Fees are payable to Camelot Property Management Services Corp. unless otherwise noted, and are due at the time the application is submitted.</w:t>
      </w:r>
    </w:p>
    <w:tbl>
      <w:tblPr>
        <w:tblW w:type="auto" w:w="0"/>
        <w:tblLayout w:type="fixed"/>
        <w:tblLook w:firstColumn="1" w:firstRow="1" w:lastColumn="0" w:lastRow="0" w:noHBand="0" w:noVBand="1" w:val="04A0"/>
      </w:tblPr>
      <w:tblGrid>
        <w:gridCol w:w="4752"/>
        <w:gridCol w:w="2304"/>
        <w:gridCol w:w="2304"/>
      </w:tblGrid>
      <w:tr>
        <w:tc>
          <w:tcPr>
            <w:tcW w:type="dxa" w:w="4752"/>
            <w:shd w:val="clear" w:color="auto" w:fill="162B4D"/>
            <w:vAlign w:val="center"/>
          </w:tcPr>
          <w:p>
            <w:r>
              <w:rPr>
                <w:b/>
                <w:color w:val="FFFFFF"/>
                <w:sz w:val="20"/>
              </w:rPr>
              <w:t>Service</w:t>
            </w:r>
          </w:p>
        </w:tc>
        <w:tc>
          <w:tcPr>
            <w:tcW w:type="dxa" w:w="2304"/>
            <w:shd w:val="clear" w:color="auto" w:fill="162B4D"/>
            <w:vAlign w:val="center"/>
          </w:tcPr>
          <w:p>
            <w:r>
              <w:rPr>
                <w:b/>
                <w:color w:val="FFFFFF"/>
                <w:sz w:val="20"/>
              </w:rPr>
              <w:t>Fee</w:t>
            </w:r>
          </w:p>
        </w:tc>
        <w:tc>
          <w:tcPr>
            <w:tcW w:type="dxa" w:w="2304"/>
            <w:shd w:val="clear" w:color="auto" w:fill="162B4D"/>
            <w:vAlign w:val="center"/>
          </w:tcPr>
          <w:p>
            <w:r>
              <w:rPr>
                <w:b/>
                <w:color w:val="FFFFFF"/>
                <w:sz w:val="20"/>
              </w:rPr>
              <w:t>Responsible Party</w:t>
            </w:r>
          </w:p>
        </w:tc>
      </w:tr>
      <w:tr>
        <w:tc>
          <w:tcPr>
            <w:tcW w:type="dxa" w:w="4752"/>
            <w:vAlign w:val="center"/>
          </w:tcPr>
          <w:p>
            <w:r>
              <w:rPr>
                <w:sz w:val="19"/>
              </w:rPr>
              <w:t>Rental Package Processing Fee (per application)</w:t>
            </w:r>
          </w:p>
        </w:tc>
        <w:tc>
          <w:tcPr>
            <w:tcW w:type="dxa" w:w="2304"/>
            <w:vAlign w:val="center"/>
          </w:tcPr>
          <w:p>
            <w:r>
              <w:rPr>
                <w:sz w:val="19"/>
              </w:rPr>
              <w:t>$500.00</w:t>
            </w:r>
          </w:p>
        </w:tc>
        <w:tc>
          <w:tcPr>
            <w:tcW w:type="dxa" w:w="2304"/>
            <w:vAlign w:val="center"/>
          </w:tcPr>
          <w:p>
            <w:r>
              <w:rPr>
                <w:sz w:val="19"/>
              </w:rPr>
              <w:t>Tenant/Applicant</w:t>
            </w:r>
          </w:p>
        </w:tc>
      </w:tr>
      <w:tr>
        <w:tc>
          <w:tcPr>
            <w:tcW w:type="dxa" w:w="4752"/>
            <w:vAlign w:val="center"/>
          </w:tcPr>
          <w:p>
            <w:r>
              <w:rPr>
                <w:sz w:val="19"/>
              </w:rPr>
              <w:t>Credit &amp; Background Check (per applicant)</w:t>
            </w:r>
          </w:p>
        </w:tc>
        <w:tc>
          <w:tcPr>
            <w:tcW w:type="dxa" w:w="2304"/>
            <w:vAlign w:val="center"/>
          </w:tcPr>
          <w:p>
            <w:r>
              <w:rPr>
                <w:sz w:val="19"/>
              </w:rPr>
              <w:t>$125.00</w:t>
            </w:r>
          </w:p>
        </w:tc>
        <w:tc>
          <w:tcPr>
            <w:tcW w:type="dxa" w:w="2304"/>
            <w:vAlign w:val="center"/>
          </w:tcPr>
          <w:p>
            <w:r>
              <w:rPr>
                <w:sz w:val="19"/>
              </w:rPr>
              <w:t>Tenant/Applicant</w:t>
            </w:r>
          </w:p>
        </w:tc>
      </w:tr>
      <w:tr>
        <w:tc>
          <w:tcPr>
            <w:tcW w:type="dxa" w:w="4752"/>
            <w:vAlign w:val="center"/>
          </w:tcPr>
          <w:p>
            <w:r>
              <w:rPr>
                <w:sz w:val="19"/>
              </w:rPr>
              <w:t>Guarantor Application Fee (if applicable, per guarantor)</w:t>
            </w:r>
          </w:p>
        </w:tc>
        <w:tc>
          <w:tcPr>
            <w:tcW w:type="dxa" w:w="2304"/>
            <w:vAlign w:val="center"/>
          </w:tcPr>
          <w:p>
            <w:r>
              <w:rPr>
                <w:sz w:val="19"/>
              </w:rPr>
              <w:t>$125.00</w:t>
            </w:r>
          </w:p>
        </w:tc>
        <w:tc>
          <w:tcPr>
            <w:tcW w:type="dxa" w:w="2304"/>
            <w:vAlign w:val="center"/>
          </w:tcPr>
          <w:p>
            <w:r>
              <w:rPr>
                <w:sz w:val="19"/>
              </w:rPr>
              <w:t>Guarantor</w:t>
            </w:r>
          </w:p>
        </w:tc>
      </w:tr>
      <w:tr>
        <w:tc>
          <w:tcPr>
            <w:tcW w:type="dxa" w:w="4752"/>
            <w:vAlign w:val="center"/>
          </w:tcPr>
          <w:p>
            <w:r>
              <w:rPr>
                <w:sz w:val="19"/>
              </w:rPr>
              <w:t>Move-In Fee (non-refundable; covers incidental wear associated with move-in)</w:t>
            </w:r>
          </w:p>
        </w:tc>
        <w:tc>
          <w:tcPr>
            <w:tcW w:type="dxa" w:w="2304"/>
            <w:vAlign w:val="center"/>
          </w:tcPr>
          <w:p>
            <w:r>
              <w:rPr>
                <w:sz w:val="19"/>
              </w:rPr>
              <w:t>25% of one month's rent</w:t>
            </w:r>
          </w:p>
        </w:tc>
        <w:tc>
          <w:tcPr>
            <w:tcW w:type="dxa" w:w="2304"/>
            <w:vAlign w:val="center"/>
          </w:tcPr>
          <w:p>
            <w:r>
              <w:rPr>
                <w:sz w:val="19"/>
              </w:rPr>
              <w:t>Tenant</w:t>
            </w:r>
          </w:p>
        </w:tc>
      </w:tr>
      <w:tr>
        <w:tc>
          <w:tcPr>
            <w:tcW w:type="dxa" w:w="4752"/>
            <w:vAlign w:val="center"/>
          </w:tcPr>
          <w:p>
            <w:r>
              <w:rPr>
                <w:sz w:val="19"/>
              </w:rPr>
              <w:t>Move-In/Move-Out Scheduling &amp; COI Administration</w:t>
            </w:r>
          </w:p>
        </w:tc>
        <w:tc>
          <w:tcPr>
            <w:tcW w:type="dxa" w:w="2304"/>
            <w:vAlign w:val="center"/>
          </w:tcPr>
          <w:p>
            <w:r>
              <w:rPr>
                <w:sz w:val="19"/>
              </w:rPr>
              <w:t>$150.00</w:t>
            </w:r>
          </w:p>
        </w:tc>
        <w:tc>
          <w:tcPr>
            <w:tcW w:type="dxa" w:w="2304"/>
            <w:vAlign w:val="center"/>
          </w:tcPr>
          <w:p>
            <w:r>
              <w:rPr>
                <w:sz w:val="19"/>
              </w:rPr>
              <w:t>Tenant</w:t>
            </w:r>
          </w:p>
        </w:tc>
      </w:tr>
      <w:tr>
        <w:tc>
          <w:tcPr>
            <w:tcW w:type="dxa" w:w="4752"/>
            <w:vAlign w:val="center"/>
          </w:tcPr>
          <w:p>
            <w:r>
              <w:rPr>
                <w:sz w:val="19"/>
              </w:rPr>
              <w:t>Lease Renewal Processing Fee (same tenant)</w:t>
            </w:r>
          </w:p>
        </w:tc>
        <w:tc>
          <w:tcPr>
            <w:tcW w:type="dxa" w:w="2304"/>
            <w:vAlign w:val="center"/>
          </w:tcPr>
          <w:p>
            <w:r>
              <w:rPr>
                <w:sz w:val="19"/>
              </w:rPr>
              <w:t>$250.00</w:t>
            </w:r>
          </w:p>
        </w:tc>
        <w:tc>
          <w:tcPr>
            <w:tcW w:type="dxa" w:w="2304"/>
            <w:vAlign w:val="center"/>
          </w:tcPr>
          <w:p>
            <w:r>
              <w:rPr>
                <w:sz w:val="19"/>
              </w:rPr>
              <w:t>Unit Owner</w:t>
            </w:r>
          </w:p>
        </w:tc>
      </w:tr>
    </w:tbl>
    <w:p>
      <w:pPr>
        <w:spacing w:before="120"/>
      </w:pPr>
      <w:r>
        <w:rPr>
          <w:i/>
          <w:sz w:val="17"/>
        </w:rPr>
        <w:t>Responsible-party assignments above follow common NYC condo/co-op rental practice; individual Boards may allocate fees differently by policy. Confirm allocation with the Board before finalizing.</w:t>
      </w:r>
    </w:p>
    <w:p>
      <w:pPr>
        <w:spacing w:before="160" w:after="200"/>
        <w:shd w:val="clear" w:color="auto" w:fill="FBEAEA"/>
      </w:pPr>
      <w:r>
        <w:rPr>
          <w:i/>
          <w:color w:val="A32A2A"/>
          <w:sz w:val="17"/>
        </w:rPr>
        <w:t>Market context: condo/co-op processing and application fees for rentals typically range $250–$1,000 per package (uncapped, unlike standard market-rate rentals where application fees are capped at $20 under NY law); move-in fees at comparable buildings generally run 20%–50% of one month's rent. These figures should be confirmed with the Board before circulating externally, as Board-set fees can vary by building.</w:t>
      </w:r>
    </w:p>
    <w:p>
      <w:r>
        <w:br w:type="page"/>
      </w:r>
    </w:p>
    <w:p>
      <w:pPr>
        <w:spacing w:before="280" w:after="120"/>
        <w:pBdr>
          <w:bottom w:val="single" w:sz="4" w:space="4" w:color="C9A227"/>
        </w:pBdr>
      </w:pPr>
      <w:r>
        <w:rPr>
          <w:rFonts w:ascii="Georgia" w:hAnsi="Georgia"/>
          <w:b/>
          <w:color w:val="162B4D"/>
          <w:sz w:val="26"/>
        </w:rPr>
        <w:t>RIDER — LEASE AGREEMENT</w:t>
      </w:r>
    </w:p>
    <w:p>
      <w:r>
        <w:rPr>
          <w:b/>
        </w:rPr>
        <w:t>165 East 62nd Street Condominium — Unit #: ______</w:t>
      </w:r>
    </w:p>
    <w:p>
      <w:pPr>
        <w:spacing w:after="160"/>
        <w:jc w:val="both"/>
      </w:pPr>
      <w:r>
        <w:t>It is the Landlord's responsibility to pay common charges on or before the tenth (10th) day of each month. If the Landlord fails to make any common charge payment to the condominium within thirty (30) days of the date on which payment is due, the 165 East 62nd Street Board of Managers has the right to demand and receive the rent payment due from the Tenant to the Landlord for any month in which said Landlord's common charge is in arrears.</w:t>
      </w:r>
    </w:p>
    <w:p>
      <w:pPr>
        <w:spacing w:before="160" w:after="200"/>
        <w:shd w:val="clear" w:color="auto" w:fill="FBEAEA"/>
      </w:pPr>
      <w:r>
        <w:rPr>
          <w:i/>
          <w:color w:val="A32A2A"/>
          <w:sz w:val="17"/>
        </w:rPr>
        <w:t>Escalation: if the Landlord's common charges, assessments, taxes, or other amounts owed to the Board of Managers remain unpaid for ninety (90) days or more, then in addition to the Board's right to redirect rent described above, the Board of Managers may pursue any additional remedy available under the by-laws, the offering plan, or applicable law — including, without limitation, filing a lien against the Unit and/or commencing legal action against the Landlord/Unit Owner — without further notice beyond that already provided under this Rider.</w:t>
      </w:r>
    </w:p>
    <w:p>
      <w:pPr>
        <w:spacing w:after="160"/>
        <w:jc w:val="both"/>
      </w:pPr>
      <w:r>
        <w:t>Additionally, all rental package fees set forth in the Fee Schedule above, and any past fees and fines, are due per occurrence and in accordance with the terms of the by-laws within the offering plan. If such fees and fines are found to be outstanding, tenant and/or owner agree to pay them in full plus all accrued interest.</w:t>
      </w:r>
    </w:p>
    <w:p>
      <w:pPr>
        <w:spacing w:after="160"/>
        <w:jc w:val="both"/>
      </w:pPr>
      <w:r>
        <w:t>After notice, Tenant agrees to forward the next rent payment due the Landlord to the Board of Managers of 165 East 62nd Street Condominium, and to continue to do so until Tenant is notified and released from that obligation, once the account is current again. Under no circumstances will Tenant be obligated to pay over rent if the monthly rent payment was already paid to the Landlord prior to receipt of a notice to pay over.</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Landlord Signature / Date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Tenant Signature / Date</w:t>
            </w:r>
          </w:p>
        </w:tc>
        <w:tc>
          <w:tcPr>
            <w:tcW w:type="dxa" w:w="6336"/>
            <w:vAlign w:val="center"/>
          </w:tcPr>
          <w:p>
            <w:pPr>
              <w:spacing w:after="40"/>
            </w:pPr>
            <w:r>
              <w:rPr>
                <w:sz w:val="19"/>
              </w:rPr>
              <w:t xml:space="preserve"> </w:t>
            </w:r>
          </w:p>
        </w:tc>
      </w:tr>
    </w:tbl>
    <w:p>
      <w:r>
        <w:br w:type="page"/>
      </w:r>
    </w:p>
    <w:p>
      <w:pPr>
        <w:spacing w:before="280" w:after="120"/>
        <w:pBdr>
          <w:bottom w:val="single" w:sz="4" w:space="4" w:color="C9A227"/>
        </w:pBdr>
      </w:pPr>
      <w:r>
        <w:rPr>
          <w:rFonts w:ascii="Georgia" w:hAnsi="Georgia"/>
          <w:b/>
          <w:color w:val="162B4D"/>
          <w:sz w:val="26"/>
        </w:rPr>
        <w:t>RIDER — OCCUPANCY</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Building / Unit</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Tenant(s) / Owner(s)</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Date of Lease / Ownership</w:t>
            </w:r>
          </w:p>
        </w:tc>
        <w:tc>
          <w:tcPr>
            <w:tcW w:type="dxa" w:w="6336"/>
            <w:vAlign w:val="center"/>
          </w:tcPr>
          <w:p>
            <w:pPr>
              <w:spacing w:after="40"/>
            </w:pPr>
            <w:r>
              <w:rPr>
                <w:sz w:val="19"/>
              </w:rPr>
              <w:t xml:space="preserve"> </w:t>
            </w:r>
          </w:p>
        </w:tc>
      </w:tr>
    </w:tbl>
    <w:p>
      <w:pPr>
        <w:spacing w:after="160"/>
        <w:jc w:val="both"/>
      </w:pPr>
      <w:r>
        <w:t>1. It is understood that the above apartment is to be used for residential purposes only by the named occupants. It is further understood and agreed that in the event this apartment is occupied by persons other than those named above, the Landlord or Condominium Board may terminate this lease (if applicable) or ownership.</w:t>
      </w:r>
    </w:p>
    <w:p>
      <w:pPr>
        <w:spacing w:after="160"/>
        <w:jc w:val="both"/>
      </w:pPr>
      <w:r>
        <w:t>2. Rules and Regulations. Lessee acknowledges having been provided a copy of the Condominium's current Rules and Regulations and expressly agrees to abide by such Rules and Regulations and any amendments thereto.</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Tenant's Signature / Date</w:t>
            </w:r>
          </w:p>
        </w:tc>
        <w:tc>
          <w:tcPr>
            <w:tcW w:type="dxa" w:w="6336"/>
            <w:vAlign w:val="center"/>
          </w:tcPr>
          <w:p>
            <w:pPr>
              <w:spacing w:after="40"/>
            </w:pPr>
            <w:r>
              <w:rPr>
                <w:sz w:val="19"/>
              </w:rPr>
              <w:t xml:space="preserve"> </w:t>
            </w:r>
          </w:p>
        </w:tc>
      </w:tr>
    </w:tbl>
    <w:p>
      <w:pPr>
        <w:spacing w:after="160"/>
        <w:jc w:val="both"/>
      </w:pPr>
      <w:r>
        <w:t>All communications and invoices concerning ownership of the Unit should be sent to the following address rather than to the apartment:</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Owner's Name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Address</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Business Telephone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Home Telephone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Email</w:t>
            </w:r>
          </w:p>
        </w:tc>
        <w:tc>
          <w:tcPr>
            <w:tcW w:type="dxa" w:w="6336"/>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EMERGENCY CONTACT</w:t>
      </w:r>
    </w:p>
    <w:p>
      <w:pPr>
        <w:spacing w:after="160"/>
        <w:jc w:val="both"/>
      </w:pPr>
      <w:r>
        <w:t>Occasionally, a maintenance problem or emergency will occur when it is imperative to contact residents. Repair work can be hampered when residents are not at home and cannot be reached; extensive damage can be prevented if the building can contact occupants promptly.</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Emergency Contact Name / Work Tel. / Email</w:t>
            </w:r>
          </w:p>
        </w:tc>
        <w:tc>
          <w:tcPr>
            <w:tcW w:type="dxa" w:w="6336"/>
            <w:vAlign w:val="center"/>
          </w:tcPr>
          <w:p>
            <w:pPr>
              <w:spacing w:after="40"/>
            </w:pPr>
            <w:r>
              <w:rPr>
                <w:sz w:val="19"/>
              </w:rPr>
              <w:t xml:space="preserve"> </w:t>
            </w:r>
          </w:p>
          <w:p>
            <w:pPr>
              <w:spacing w:after="40"/>
            </w:pPr>
            <w:r>
              <w:rPr>
                <w:sz w:val="19"/>
              </w:rPr>
              <w:t xml:space="preserve"> </w:t>
            </w:r>
          </w:p>
        </w:tc>
      </w:tr>
    </w:tbl>
    <w:p>
      <w:r>
        <w:br w:type="page"/>
      </w:r>
    </w:p>
    <w:p>
      <w:pPr>
        <w:spacing w:before="280" w:after="120"/>
        <w:pBdr>
          <w:bottom w:val="single" w:sz="4" w:space="4" w:color="C9A227"/>
        </w:pBdr>
      </w:pPr>
      <w:r>
        <w:rPr>
          <w:rFonts w:ascii="Georgia" w:hAnsi="Georgia"/>
          <w:b/>
          <w:color w:val="162B4D"/>
          <w:sz w:val="26"/>
        </w:rPr>
        <w:t>HOUSE RULES</w:t>
      </w:r>
    </w:p>
    <w:p>
      <w:pPr>
        <w:spacing w:after="160"/>
        <w:jc w:val="both"/>
      </w:pPr>
      <w:r>
        <w:t>The Board of Managers welcomes you to 165 East 62nd Street Condominium. In order to maintain the cleanliness of the building and reduce liability, all residents are expected to know and adhere to the following rules:</w:t>
      </w:r>
    </w:p>
    <w:p>
      <w:pPr>
        <w:spacing w:after="160"/>
        <w:jc w:val="both"/>
      </w:pPr>
      <w:r>
        <w:t>The doorman may not admit visitors without proper notice; all guests will be announced before proceeding to apartments.</w:t>
      </w:r>
    </w:p>
    <w:p>
      <w:pPr>
        <w:spacing w:after="160"/>
        <w:jc w:val="both"/>
      </w:pPr>
      <w:r>
        <w:t>No personal property is permitted in the stairwells outside apartments. Furniture or boxes being stored briefly during a move or renovation must be cleared with the Managing Agent and/or Superintendent.</w:t>
      </w:r>
    </w:p>
    <w:p>
      <w:pPr>
        <w:spacing w:after="160"/>
        <w:jc w:val="both"/>
      </w:pPr>
      <w:r>
        <w:t>No smoking in the stairwells; do not extinguish or leave cigarette butts in stairwells.</w:t>
      </w:r>
    </w:p>
    <w:p>
      <w:pPr>
        <w:spacing w:after="160"/>
        <w:jc w:val="both"/>
      </w:pPr>
      <w:r>
        <w:t>Please avoid making noise or commotion in the lobby or elevator late at night.</w:t>
      </w:r>
    </w:p>
    <w:p>
      <w:pPr>
        <w:spacing w:after="160"/>
        <w:jc w:val="both"/>
      </w:pPr>
      <w:r>
        <w:t>Please keep music and entertaining at a considerate volume for neighbors, and comply promptly if asked to lower the volume.</w:t>
      </w:r>
    </w:p>
    <w:p>
      <w:pPr>
        <w:spacing w:after="160"/>
        <w:jc w:val="both"/>
      </w:pPr>
      <w:r>
        <w:t>Smoking of tobacco, non-tobacco, or e-cigarettes is not permitted in common areas (stairwells, elevator, lobby, storage, fitness area, etc.), nor within 10 feet of the building's front entrance or on unit balconies. Smoking is permitted inside residential units. This policy applies to residents, tenants, and their invitees.</w:t>
      </w:r>
    </w:p>
    <w:p>
      <w:pPr>
        <w:spacing w:after="160"/>
        <w:jc w:val="both"/>
      </w:pPr>
      <w:r>
        <w:t>Trash disposal: separate garbage as required; use the garbage chute only between 8:00 a.m. and 10:30 p.m.; do not leave items in stairwells or near the elevator — contact the superintendent for assistance with large items or furniture disposal. Grills/BBQs are not permitted on the premises.</w:t>
      </w:r>
    </w:p>
    <w:p>
      <w:pPr>
        <w:spacing w:before="280" w:after="120"/>
        <w:pBdr>
          <w:bottom w:val="single" w:sz="4" w:space="4" w:color="C9A227"/>
        </w:pBdr>
      </w:pPr>
      <w:r>
        <w:rPr>
          <w:rFonts w:ascii="Georgia" w:hAnsi="Georgia"/>
          <w:b/>
          <w:color w:val="162B4D"/>
          <w:sz w:val="26"/>
        </w:rPr>
        <w:t>MANAGING AGENT</w:t>
      </w:r>
    </w:p>
    <w:p>
      <w:pPr>
        <w:spacing w:after="160"/>
        <w:jc w:val="both"/>
      </w:pPr>
      <w:r>
        <w:t>The Managing Agent is responsible for collection of maintenance fees, preparation of monthly financial statements, supervision of building staff and outside vendors, review of estimates and contracts, response to resident requests and complaints, attendance at Board meetings, and keeping the Board informed of all building operations.</w:t>
      </w:r>
    </w:p>
    <w:p>
      <w:r>
        <w:rPr>
          <w:sz w:val="19"/>
        </w:rPr>
        <w:t>Camelot Property Management Services Corp.</w:t>
        <w:br/>
        <w:t>57 West 57th Street, Suite 410, New York, NY 10019</w:t>
        <w:br/>
        <w:t>Tel: (212) 206-9939</w:t>
        <w:br/>
        <w:t>www.camelot.nyc  |  info@camelot.nyc</w:t>
      </w:r>
    </w:p>
    <w:p>
      <w:pPr>
        <w:spacing w:after="160"/>
        <w:jc w:val="both"/>
      </w:pPr>
      <w:r>
        <w:t>The Managing Agent maintains a 24-hour, 7-day-a-week answering service for emergency calls during non-business hours, reachable through the main office number above.</w:t>
      </w:r>
    </w:p>
    <w:p>
      <w:pPr>
        <w:spacing w:before="280" w:after="120"/>
        <w:pBdr>
          <w:bottom w:val="single" w:sz="4" w:space="4" w:color="C9A227"/>
        </w:pBdr>
      </w:pPr>
      <w:r>
        <w:rPr>
          <w:rFonts w:ascii="Georgia" w:hAnsi="Georgia"/>
          <w:b/>
          <w:color w:val="162B4D"/>
          <w:sz w:val="26"/>
        </w:rPr>
        <w:t>RESPONSIBILITIES OF THE CONDOMINIUM</w:t>
      </w:r>
    </w:p>
    <w:p>
      <w:pPr>
        <w:spacing w:after="160"/>
        <w:jc w:val="both"/>
      </w:pPr>
      <w:r>
        <w:t>The condominium is responsible for repairs to common areas and the building's superstructure as described in the offering plan. The unit owner bears full responsibility for maintenance of the apartment's interior, and for damage caused to other apartments by leakage or overflow of basins, tubs, commodes, and radiators. The unit owner must provide access to the apartment upon advance notice for inspections and repairs; in an emergency, such access shall be immediate, whether or not the unit owner is present.</w:t>
      </w:r>
    </w:p>
    <w:p>
      <w:pPr>
        <w:spacing w:before="280" w:after="120"/>
        <w:pBdr>
          <w:bottom w:val="single" w:sz="4" w:space="4" w:color="C9A227"/>
        </w:pBdr>
      </w:pPr>
      <w:r>
        <w:rPr>
          <w:rFonts w:ascii="Georgia" w:hAnsi="Georgia"/>
          <w:b/>
          <w:color w:val="162B4D"/>
          <w:sz w:val="26"/>
        </w:rPr>
        <w:t>MOVE-IN AND MOVE-OUT</w:t>
      </w:r>
    </w:p>
    <w:p>
      <w:pPr>
        <w:spacing w:after="160"/>
        <w:jc w:val="both"/>
      </w:pPr>
      <w:r>
        <w:t>Move-ins and move-outs are scheduled Monday through Friday, 10:00 a.m. to 4:00 p.m., after a Certificate of Insurance is received. Please provide 48 hours' notice so building staff can schedule protective coverings for the elevator and walls. Insurance certificates must be in place prior to delivery for any move requiring movers and a truck.</w:t>
      </w:r>
    </w:p>
    <w:p>
      <w:pPr>
        <w:spacing w:before="280" w:after="120"/>
        <w:pBdr>
          <w:bottom w:val="single" w:sz="4" w:space="4" w:color="C9A227"/>
        </w:pBdr>
      </w:pPr>
      <w:r>
        <w:rPr>
          <w:rFonts w:ascii="Georgia" w:hAnsi="Georgia"/>
          <w:b/>
          <w:color w:val="162B4D"/>
          <w:sz w:val="26"/>
        </w:rPr>
        <w:t>TRASH &amp; RECYCLING</w:t>
      </w:r>
    </w:p>
    <w:p>
      <w:pPr>
        <w:spacing w:after="160"/>
        <w:jc w:val="both"/>
      </w:pPr>
      <w:r>
        <w:t>New York City requires recycling of paper and cardboard; beverage cartons, bottles, cans, metal, and foil; and bulky metal and appliances containing CFC gas. See nyc.gov/sanitation for the complete list. Soiled paper cups/plates, napkins, paper towels, and tissues are trash, not recyclables. Styrofoam, plastic bags, salad containers, plastic wrap, light bulbs, and yogurt containers are trash. Cardboard must be flattened and bundled or bagged.</w:t>
      </w:r>
    </w:p>
    <w:p>
      <w:r>
        <w:br w:type="page"/>
      </w:r>
    </w:p>
    <w:p>
      <w:pPr>
        <w:spacing w:before="280" w:after="120"/>
        <w:pBdr>
          <w:bottom w:val="single" w:sz="4" w:space="4" w:color="C9A227"/>
        </w:pBdr>
      </w:pPr>
      <w:r>
        <w:rPr>
          <w:rFonts w:ascii="Georgia" w:hAnsi="Georgia"/>
          <w:b/>
          <w:color w:val="162B4D"/>
          <w:sz w:val="26"/>
        </w:rPr>
        <w:t>RULES AND GUIDELINES FOR THE DOORMAN</w:t>
      </w:r>
    </w:p>
    <w:p>
      <w:pPr>
        <w:spacing w:after="160"/>
        <w:jc w:val="both"/>
      </w:pPr>
      <w:r>
        <w:t>The doorman's principal function is building security: guarding the lobby, screening visitors, workmen, and deliveries, and maintaining a professional, courteous presence at all times.</w:t>
      </w:r>
    </w:p>
    <w:p>
      <w:pPr>
        <w:spacing w:after="160"/>
        <w:jc w:val="both"/>
      </w:pPr>
      <w:r>
        <w:t>Check and maintain the lobby area, exterior sidewalk, and tree pit in clean condition at all times, including regular wet-mopping of the lobby/elevators and daily sidewalk sweeping.</w:t>
      </w:r>
    </w:p>
    <w:p>
      <w:pPr>
        <w:spacing w:after="160"/>
        <w:jc w:val="both"/>
      </w:pPr>
      <w:r>
        <w:t>Do not run errands, walk dogs, feed pets, or watch parked cars for residents; remain within the area of the entrance at all times.</w:t>
      </w:r>
    </w:p>
    <w:p>
      <w:pPr>
        <w:spacing w:after="160"/>
        <w:jc w:val="both"/>
      </w:pPr>
      <w:r>
        <w:t>All guests must be announced before being permitted past the doorman.</w:t>
      </w:r>
    </w:p>
    <w:p>
      <w:pPr>
        <w:spacing w:after="160"/>
        <w:jc w:val="both"/>
      </w:pPr>
      <w:r>
        <w:t>Remain at the front entrance/desk and assist with the door for each person entering or exiting.</w:t>
      </w:r>
    </w:p>
    <w:p>
      <w:pPr>
        <w:spacing w:after="160"/>
        <w:jc w:val="both"/>
      </w:pPr>
      <w:r>
        <w:t>Notify the property manager immediately in an emergency.</w:t>
      </w:r>
    </w:p>
    <w:p>
      <w:pPr>
        <w:spacing w:after="160"/>
        <w:jc w:val="both"/>
      </w:pPr>
      <w:r>
        <w:t>Log every delivery person, contractor, or employee (including dog walkers and housekeepers) in and out.</w:t>
      </w:r>
    </w:p>
    <w:p>
      <w:pPr>
        <w:spacing w:after="160"/>
        <w:jc w:val="both"/>
      </w:pPr>
      <w:r>
        <w:t>Do not leave the door unattended; lock it if it is necessary to step away.</w:t>
      </w:r>
    </w:p>
    <w:p>
      <w:pPr>
        <w:spacing w:after="160"/>
        <w:jc w:val="both"/>
      </w:pPr>
      <w:r>
        <w:t>Remain alert at all times and assist residents with packages from the sidewalk or elevator.</w:t>
      </w:r>
    </w:p>
    <w:p>
      <w:pPr>
        <w:spacing w:after="160"/>
        <w:jc w:val="both"/>
      </w:pPr>
      <w:r>
        <w:t>Keep the lobby and entrance clear of loiterers; no contractors or their employees may loiter in the lobby.</w:t>
      </w:r>
    </w:p>
    <w:p>
      <w:pPr>
        <w:spacing w:after="160"/>
        <w:jc w:val="both"/>
      </w:pPr>
      <w:r>
        <w:t>No unauthorized persons (appraisers, inspectors, engineers, etc.) may enter without management's knowledge and approval.</w:t>
      </w:r>
    </w:p>
    <w:p>
      <w:pPr>
        <w:spacing w:after="160"/>
        <w:jc w:val="both"/>
      </w:pPr>
      <w:r>
        <w:t>All move-ins/move-outs must be approved by management; report illegal occupants to the superintendent and management.</w:t>
      </w:r>
    </w:p>
    <w:p>
      <w:pPr>
        <w:spacing w:after="160"/>
        <w:jc w:val="both"/>
      </w:pPr>
      <w:r>
        <w:t>All Building Department inspectors must show identification; log badge/department numbers and escort them throughout the building; report all inspectors to the superintendent immediately.</w:t>
      </w:r>
    </w:p>
    <w:p>
      <w:pPr>
        <w:spacing w:after="160"/>
        <w:jc w:val="both"/>
      </w:pPr>
      <w:r>
        <w:t>The above duties may be incomplete; additions, deletions, or changes may be made at any time by the owner or management company.</w:t>
      </w:r>
    </w:p>
    <w:p>
      <w:pPr>
        <w:spacing w:before="280" w:after="120"/>
        <w:pBdr>
          <w:bottom w:val="single" w:sz="4" w:space="4" w:color="C9A227"/>
        </w:pBdr>
      </w:pPr>
      <w:r>
        <w:rPr>
          <w:rFonts w:ascii="Georgia" w:hAnsi="Georgia"/>
          <w:b/>
          <w:color w:val="162B4D"/>
          <w:sz w:val="26"/>
        </w:rPr>
        <w:t>NOTICE FOR INDOOR ALLERGEN HAZARDS</w:t>
      </w:r>
    </w:p>
    <w:p>
      <w:pPr>
        <w:spacing w:after="160"/>
        <w:jc w:val="both"/>
      </w:pPr>
      <w:r>
        <w:t>1. Under NYC Administrative Code section 27-2017.1 et seq., the owner of this building is required to make an annual inspection for indoor allergen hazards (mold, mice, rats, cockroaches) in your apartment and the building's common areas, and must also inspect upon tenant request or notice of a likely hazard, or upon a Department violation requiring correction. If an indoor allergen hazard exists, the owner must fix it using the safe work practices provided in the law, and must provide new tenants a pamphlet on indoor allergen hazards.</w:t>
      </w:r>
    </w:p>
    <w:p>
      <w:pPr>
        <w:spacing w:after="160"/>
        <w:jc w:val="both"/>
      </w:pPr>
      <w:r>
        <w:t>2. Prior to a new tenant's occupancy, the owner is required to fix all visible mold and pest infestations and any underlying defects (such as leaks), and to thoroughly clean and vacuum any carpeting or furniture provided, using safe work practices under the law. This notice must be signed by the owner or representative.</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Owner/Representative Print Name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Signature</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Date</w:t>
            </w:r>
          </w:p>
        </w:tc>
        <w:tc>
          <w:tcPr>
            <w:tcW w:type="dxa" w:w="6336"/>
            <w:vAlign w:val="center"/>
          </w:tcPr>
          <w:p>
            <w:pPr>
              <w:spacing w:after="40"/>
            </w:pPr>
            <w:r>
              <w:rPr>
                <w:sz w:val="19"/>
              </w:rPr>
              <w:t xml:space="preserve"> </w:t>
            </w:r>
          </w:p>
        </w:tc>
      </w:tr>
    </w:tbl>
    <w:p>
      <w:r>
        <w:br w:type="page"/>
      </w:r>
    </w:p>
    <w:p>
      <w:pPr>
        <w:spacing w:before="280" w:after="120"/>
        <w:pBdr>
          <w:bottom w:val="single" w:sz="4" w:space="4" w:color="C9A227"/>
        </w:pBdr>
      </w:pPr>
      <w:r>
        <w:rPr>
          <w:rFonts w:ascii="Georgia" w:hAnsi="Georgia"/>
          <w:b/>
          <w:color w:val="162B4D"/>
          <w:sz w:val="26"/>
        </w:rPr>
        <w:t>REQUIRED LEGAL NOTICES &amp; DISCLOSURES</w:t>
      </w:r>
    </w:p>
    <w:p>
      <w:pPr>
        <w:spacing w:after="160"/>
      </w:pPr>
      <w:r>
        <w:rPr>
          <w:sz w:val="19"/>
        </w:rPr>
        <w:t>This section adds notices required under current NYC/NYS law that were not present in the prior (Jan 2022) version of this package. It is provided for compliance completeness — it is informational, not legal advice, and should be reviewed by counsel before this package is finalized for use.</w:t>
      </w:r>
    </w:p>
    <w:p>
      <w:pPr>
        <w:spacing w:before="280" w:after="120"/>
        <w:pBdr>
          <w:bottom w:val="single" w:sz="4" w:space="4" w:color="C9A227"/>
        </w:pBdr>
      </w:pPr>
      <w:r>
        <w:rPr>
          <w:rFonts w:ascii="Georgia" w:hAnsi="Georgia"/>
          <w:b/>
          <w:color w:val="162B4D"/>
          <w:sz w:val="26"/>
        </w:rPr>
        <w:t>Bed Bug Infestation History Disclosure</w:t>
      </w:r>
    </w:p>
    <w:p>
      <w:pPr>
        <w:spacing w:after="160"/>
        <w:jc w:val="both"/>
      </w:pPr>
      <w:r>
        <w:t>Required for every residential lease and lease renewal in New York City (NYC Admin. Code § 27-2018.1). Landlord/Agent must disclose the unit's and building's bed bug infestation history for the past year, and whether any adjoining units are currently infested.</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Has the unit had a bed bug infestation within the past year?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Has the building had a bed bug infestation within the past year?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Is any unit adjoining (above, below, or beside) this unit currently infested?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If yes to any of the above, describe extermination/remediation measures taken</w:t>
            </w:r>
          </w:p>
        </w:tc>
        <w:tc>
          <w:tcPr>
            <w:tcW w:type="dxa" w:w="6336"/>
            <w:vAlign w:val="center"/>
          </w:tcPr>
          <w:p>
            <w:pPr>
              <w:spacing w:after="40"/>
            </w:pPr>
            <w:r>
              <w:rPr>
                <w:sz w:val="19"/>
              </w:rPr>
              <w:t xml:space="preserve"> </w:t>
            </w:r>
          </w:p>
          <w:p>
            <w:pPr>
              <w:spacing w:after="40"/>
            </w:pPr>
            <w:r>
              <w:rPr>
                <w:sz w:val="19"/>
              </w:rPr>
              <w:t xml:space="preserve"> </w:t>
            </w:r>
          </w:p>
        </w:tc>
      </w:tr>
    </w:tbl>
    <w:p>
      <w:pPr>
        <w:spacing w:before="160" w:after="200"/>
        <w:shd w:val="clear" w:color="auto" w:fill="FBEAEA"/>
      </w:pPr>
      <w:r>
        <w:rPr>
          <w:i/>
          <w:color w:val="A32A2A"/>
          <w:sz w:val="17"/>
        </w:rPr>
        <w:t>Owners of buildings with 3+ units must also file an Annual Bed Bug Report with HPD each December 1–31. Confirm this building's most recent filing before circulating this package.</w:t>
      </w:r>
    </w:p>
    <w:p>
      <w:pPr>
        <w:spacing w:before="280" w:after="120"/>
        <w:pBdr>
          <w:bottom w:val="single" w:sz="4" w:space="4" w:color="C9A227"/>
        </w:pBdr>
      </w:pPr>
      <w:r>
        <w:rPr>
          <w:rFonts w:ascii="Georgia" w:hAnsi="Georgia"/>
          <w:b/>
          <w:color w:val="162B4D"/>
          <w:sz w:val="26"/>
        </w:rPr>
        <w:t>Window Guard Notice</w:t>
      </w:r>
    </w:p>
    <w:p>
      <w:pPr>
        <w:spacing w:after="160"/>
        <w:jc w:val="both"/>
      </w:pPr>
      <w:r>
        <w:t>Required annually for every tenant in a multiple dwelling (NYC Health Code, Window Guard rules). Window guards are mandatory, at Landlord's expense, if a child age 10 or younger resides in the unit, or upon any tenant's request regardless of whether children reside there. This notice must be re-sent to all tenants every year, independent of lease signing.</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Does a child age 10 or under reside, or is expected to reside, in this unit?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Tenant requests window guards regardless of children in unit?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Tenant Acknowledgment Signature / Date</w:t>
            </w:r>
          </w:p>
        </w:tc>
        <w:tc>
          <w:tcPr>
            <w:tcW w:type="dxa" w:w="6336"/>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Lead-Based Paint Disclosure (Buildings Built Before 1978)</w:t>
      </w:r>
    </w:p>
    <w:p>
      <w:pPr>
        <w:spacing w:after="160"/>
        <w:jc w:val="both"/>
      </w:pPr>
      <w:r>
        <w:t>Federal law (42 U.S.C. § 4852d) and NYC Local Law require disclosure of known lead-based paint or lead-based paint hazards for housing built before 1978, provided at initial lease signing and each renewal, with a required disclosure addendum and the EPA pamphlet “Protect Your Family from Lead in Your Home.” This section applies only if [PROPERTY BUILT BEFORE 1978 — CONFIRM: Y/N].</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Building constructed before 1978? (Y/N — confirm with offering plan/DOB records)</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Landlord/Agent has knowledge of lead-based paint or hazards in the unit?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EPA pamphlet &amp; disclosure addendum provided to Tenant?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Tenant Acknowledgment Signature / Date</w:t>
            </w:r>
          </w:p>
        </w:tc>
        <w:tc>
          <w:tcPr>
            <w:tcW w:type="dxa" w:w="6336"/>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NYS Housing &amp; Anti-Discrimination Disclosure (Real Property Law § 442-H)</w:t>
      </w:r>
    </w:p>
    <w:p>
      <w:pPr>
        <w:spacing w:after="160"/>
        <w:jc w:val="both"/>
      </w:pPr>
      <w:r>
        <w:t>New York real estate licensees must furnish the New York State Housing and Anti-Discrimination Disclosure Form to every prospective tenant at first substantive contact, and retain proof of delivery for at least three years. This form is separate from this application package.</w:t>
      </w:r>
    </w:p>
    <w:tbl>
      <w:tblPr>
        <w:tblStyle w:val="TableGrid"/>
        <w:tblW w:type="auto" w:w="0"/>
        <w:tblLayout w:type="fixed"/>
        <w:tblLook w:firstColumn="1" w:firstRow="1" w:lastColumn="0" w:lastRow="0" w:noHBand="0" w:noVBand="1" w:val="04A0"/>
      </w:tblPr>
      <w:tblGrid>
        <w:gridCol w:w="4824"/>
        <w:gridCol w:w="4824"/>
      </w:tblGrid>
      <w:tr>
        <w:tc>
          <w:tcPr>
            <w:tcW w:type="dxa" w:w="3456"/>
            <w:shd w:val="clear" w:color="auto" w:fill="F2E8C9"/>
            <w:vAlign w:val="center"/>
          </w:tcPr>
          <w:p>
            <w:r>
              <w:rPr>
                <w:b/>
                <w:sz w:val="19"/>
              </w:rPr>
              <w:t>NYS Housing &amp; Anti-Discrimination Disclosure Form provided at first contact? (Y/N)</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Date Provided</w:t>
            </w:r>
          </w:p>
        </w:tc>
        <w:tc>
          <w:tcPr>
            <w:tcW w:type="dxa" w:w="6336"/>
            <w:vAlign w:val="center"/>
          </w:tcPr>
          <w:p>
            <w:pPr>
              <w:spacing w:after="40"/>
            </w:pPr>
            <w:r>
              <w:rPr>
                <w:sz w:val="19"/>
              </w:rPr>
              <w:t xml:space="preserve"> </w:t>
            </w:r>
          </w:p>
        </w:tc>
      </w:tr>
      <w:tr>
        <w:tc>
          <w:tcPr>
            <w:tcW w:type="dxa" w:w="3456"/>
            <w:shd w:val="clear" w:color="auto" w:fill="F2E8C9"/>
            <w:vAlign w:val="center"/>
          </w:tcPr>
          <w:p>
            <w:r>
              <w:rPr>
                <w:b/>
                <w:sz w:val="19"/>
              </w:rPr>
              <w:t>Provided By (Agent/Broker Name &amp; License #)</w:t>
            </w:r>
          </w:p>
        </w:tc>
        <w:tc>
          <w:tcPr>
            <w:tcW w:type="dxa" w:w="6336"/>
            <w:vAlign w:val="center"/>
          </w:tcPr>
          <w:p>
            <w:pPr>
              <w:spacing w:after="40"/>
            </w:pPr>
            <w:r>
              <w:rPr>
                <w:sz w:val="19"/>
              </w:rPr>
              <w:t xml:space="preserve"> </w:t>
            </w:r>
          </w:p>
        </w:tc>
      </w:tr>
    </w:tbl>
    <w:p>
      <w:pPr>
        <w:spacing w:before="160" w:after="200"/>
        <w:shd w:val="clear" w:color="auto" w:fill="FBEAEA"/>
      </w:pPr>
      <w:r>
        <w:rPr>
          <w:i/>
          <w:color w:val="A32A2A"/>
          <w:sz w:val="17"/>
        </w:rPr>
        <w:t>Compliance summary only — this package does not certify legal compliance. Confirm current form versions, building-specific facts (construction date, unit count, most recent HPD bed bug filing), and any updates to NYC/NYS law with counsel and with REBNY-published guidance before relying on this package.</w:t>
      </w:r>
    </w:p>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