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Georgia" w:hAnsi="Georgia"/>
          <w:b/>
          <w:color w:val="162B4D"/>
          <w:sz w:val="34"/>
        </w:rPr>
        <w:t>SUMMARY OF INSURANCE COVERAGE</w:t>
      </w:r>
    </w:p>
    <w:p>
      <w:pPr>
        <w:spacing w:after="280"/>
        <w:jc w:val="center"/>
      </w:pPr>
      <w:r>
        <w:rPr>
          <w:i/>
          <w:color w:val="666666"/>
          <w:sz w:val="22"/>
        </w:rPr>
        <w:t>Camelot Property Management Services Corp. DBA Camelot Realty Group</w:t>
      </w:r>
    </w:p>
    <w:p>
      <w:pPr>
        <w:spacing w:after="280"/>
        <w:jc w:val="both"/>
      </w:pPr>
      <w:r>
        <w:rPr>
          <w:sz w:val="19"/>
        </w:rPr>
        <w:t>This page summarizes the principal lines of insurance coverage Camelot carries as a company. It is provided for general informational purposes to give clients, boards, and vendors a clear picture of our coverage — it is not a Certificate of Insurance and does not modify, replace, or expand any actual policy. All coverage remains subject to the full terms, conditions, exclusions, and limits of the underlying policies. A formal Certificate of Insurance is available upon request.</w:t>
      </w:r>
    </w:p>
    <w:tbl>
      <w:tblPr>
        <w:tblW w:type="auto" w:w="0"/>
        <w:tblLayout w:type="fixed"/>
        <w:tblLook w:firstColumn="1" w:firstRow="1" w:lastColumn="0" w:lastRow="0" w:noHBand="0" w:noVBand="1" w:val="04A0"/>
      </w:tblPr>
      <w:tblGrid>
        <w:gridCol w:w="1872"/>
        <w:gridCol w:w="2736"/>
        <w:gridCol w:w="1656"/>
        <w:gridCol w:w="2520"/>
        <w:gridCol w:w="1440"/>
      </w:tblGrid>
      <w:tr>
        <w:tc>
          <w:tcPr>
            <w:tcW w:type="dxa" w:w="1872"/>
            <w:shd w:val="clear" w:color="auto" w:fill="162B4D"/>
            <w:vAlign w:val="center"/>
          </w:tcPr>
          <w:p>
            <w:r>
              <w:rPr>
                <w:b/>
                <w:color w:val="FFFFFF"/>
                <w:sz w:val="19"/>
              </w:rPr>
              <w:t>Coverage</w:t>
            </w:r>
          </w:p>
        </w:tc>
        <w:tc>
          <w:tcPr>
            <w:tcW w:type="dxa" w:w="2736"/>
            <w:shd w:val="clear" w:color="auto" w:fill="162B4D"/>
            <w:vAlign w:val="center"/>
          </w:tcPr>
          <w:p>
            <w:r>
              <w:rPr>
                <w:b/>
                <w:color w:val="FFFFFF"/>
                <w:sz w:val="19"/>
              </w:rPr>
              <w:t>Carrier</w:t>
            </w:r>
          </w:p>
        </w:tc>
        <w:tc>
          <w:tcPr>
            <w:tcW w:type="dxa" w:w="1656"/>
            <w:shd w:val="clear" w:color="auto" w:fill="162B4D"/>
            <w:vAlign w:val="center"/>
          </w:tcPr>
          <w:p>
            <w:r>
              <w:rPr>
                <w:b/>
                <w:color w:val="FFFFFF"/>
                <w:sz w:val="19"/>
              </w:rPr>
              <w:t>Policy Number</w:t>
            </w:r>
          </w:p>
        </w:tc>
        <w:tc>
          <w:tcPr>
            <w:tcW w:type="dxa" w:w="2520"/>
            <w:shd w:val="clear" w:color="auto" w:fill="162B4D"/>
            <w:vAlign w:val="center"/>
          </w:tcPr>
          <w:p>
            <w:r>
              <w:rPr>
                <w:b/>
                <w:color w:val="FFFFFF"/>
                <w:sz w:val="19"/>
              </w:rPr>
              <w:t>Limits</w:t>
            </w:r>
          </w:p>
        </w:tc>
        <w:tc>
          <w:tcPr>
            <w:tcW w:type="dxa" w:w="1440"/>
            <w:shd w:val="clear" w:color="auto" w:fill="162B4D"/>
            <w:vAlign w:val="center"/>
          </w:tcPr>
          <w:p>
            <w:r>
              <w:rPr>
                <w:b/>
                <w:color w:val="FFFFFF"/>
                <w:sz w:val="19"/>
              </w:rPr>
              <w:t>Policy Period</w:t>
            </w:r>
          </w:p>
        </w:tc>
      </w:tr>
      <w:tr>
        <w:tc>
          <w:tcPr>
            <w:tcW w:type="dxa" w:w="1872"/>
            <w:vAlign w:val="center"/>
          </w:tcPr>
          <w:p>
            <w:pPr>
              <w:spacing w:after="0"/>
            </w:pPr>
            <w:r>
              <w:rPr>
                <w:sz w:val="17"/>
              </w:rPr>
              <w:t>Professional Liability</w:t>
            </w:r>
            <w:r>
              <w:rPr>
                <w:sz w:val="17"/>
              </w:rPr>
              <w:br/>
              <w:t>(Errors &amp; Omissions)</w:t>
            </w:r>
          </w:p>
        </w:tc>
        <w:tc>
          <w:tcPr>
            <w:tcW w:type="dxa" w:w="2736"/>
            <w:vAlign w:val="center"/>
          </w:tcPr>
          <w:p>
            <w:pPr>
              <w:spacing w:after="0"/>
            </w:pPr>
            <w:r>
              <w:rPr>
                <w:sz w:val="17"/>
              </w:rPr>
              <w:t>Underwriters at Lloyd's, London</w:t>
            </w:r>
            <w:r>
              <w:rPr>
                <w:sz w:val="17"/>
              </w:rPr>
              <w:br/>
              <w:t>(administered by Hiscox Inc.)</w:t>
            </w:r>
          </w:p>
        </w:tc>
        <w:tc>
          <w:tcPr>
            <w:tcW w:type="dxa" w:w="1656"/>
            <w:vAlign w:val="center"/>
          </w:tcPr>
          <w:p>
            <w:pPr>
              <w:spacing w:after="0"/>
            </w:pPr>
            <w:r>
              <w:rPr>
                <w:sz w:val="17"/>
              </w:rPr>
              <w:t>MPL4387044.26</w:t>
            </w:r>
          </w:p>
        </w:tc>
        <w:tc>
          <w:tcPr>
            <w:tcW w:type="dxa" w:w="2520"/>
            <w:vAlign w:val="center"/>
          </w:tcPr>
          <w:p>
            <w:pPr>
              <w:spacing w:after="0"/>
            </w:pPr>
            <w:r>
              <w:rPr>
                <w:sz w:val="17"/>
              </w:rPr>
              <w:t>$1,000,000 each claim /</w:t>
            </w:r>
            <w:r>
              <w:rPr>
                <w:sz w:val="17"/>
              </w:rPr>
              <w:br/>
              <w:t>$1,000,000 aggregate</w:t>
            </w:r>
          </w:p>
        </w:tc>
        <w:tc>
          <w:tcPr>
            <w:tcW w:type="dxa" w:w="1440"/>
            <w:vAlign w:val="center"/>
          </w:tcPr>
          <w:p>
            <w:pPr>
              <w:spacing w:after="0"/>
            </w:pPr>
            <w:r>
              <w:rPr>
                <w:sz w:val="17"/>
              </w:rPr>
              <w:t>2/3/2026 –</w:t>
            </w:r>
            <w:r>
              <w:rPr>
                <w:sz w:val="17"/>
              </w:rPr>
              <w:br/>
              <w:t>2/3/2027</w:t>
            </w:r>
          </w:p>
        </w:tc>
      </w:tr>
      <w:tr>
        <w:tc>
          <w:tcPr>
            <w:tcW w:type="dxa" w:w="1872"/>
            <w:vAlign w:val="center"/>
          </w:tcPr>
          <w:p>
            <w:pPr>
              <w:spacing w:after="0"/>
            </w:pPr>
            <w:r>
              <w:rPr>
                <w:sz w:val="17"/>
              </w:rPr>
              <w:t>Employment Practices</w:t>
            </w:r>
            <w:r>
              <w:rPr>
                <w:sz w:val="17"/>
              </w:rPr>
              <w:br/>
              <w:t>Liability (EPLI)</w:t>
            </w:r>
          </w:p>
        </w:tc>
        <w:tc>
          <w:tcPr>
            <w:tcW w:type="dxa" w:w="2736"/>
            <w:vAlign w:val="center"/>
          </w:tcPr>
          <w:p>
            <w:pPr>
              <w:spacing w:after="0"/>
            </w:pPr>
            <w:r>
              <w:rPr>
                <w:sz w:val="17"/>
              </w:rPr>
              <w:t>Counterpart, Inc.</w:t>
            </w:r>
            <w:r>
              <w:rPr>
                <w:sz w:val="17"/>
              </w:rPr>
              <w:br/>
              <w:t>(Superior Specialty / Aspen Specialty /</w:t>
            </w:r>
            <w:r>
              <w:rPr>
                <w:sz w:val="17"/>
              </w:rPr>
              <w:br/>
              <w:t>Westfield Specialty, quota share)</w:t>
            </w:r>
          </w:p>
        </w:tc>
        <w:tc>
          <w:tcPr>
            <w:tcW w:type="dxa" w:w="1656"/>
            <w:vAlign w:val="center"/>
          </w:tcPr>
          <w:p>
            <w:pPr>
              <w:spacing w:after="0"/>
            </w:pPr>
            <w:r>
              <w:rPr>
                <w:sz w:val="17"/>
              </w:rPr>
              <w:t>CML-S4ZASV4-P0326</w:t>
            </w:r>
          </w:p>
        </w:tc>
        <w:tc>
          <w:tcPr>
            <w:tcW w:type="dxa" w:w="2520"/>
            <w:vAlign w:val="center"/>
          </w:tcPr>
          <w:p>
            <w:pPr>
              <w:spacing w:after="0"/>
            </w:pPr>
            <w:r>
              <w:rPr>
                <w:sz w:val="17"/>
              </w:rPr>
              <w:t>$1,000,000 maximum</w:t>
            </w:r>
            <w:r>
              <w:rPr>
                <w:sz w:val="17"/>
              </w:rPr>
              <w:br/>
              <w:t>limit of liability</w:t>
            </w:r>
          </w:p>
        </w:tc>
        <w:tc>
          <w:tcPr>
            <w:tcW w:type="dxa" w:w="1440"/>
            <w:vAlign w:val="center"/>
          </w:tcPr>
          <w:p>
            <w:pPr>
              <w:spacing w:after="0"/>
            </w:pPr>
            <w:r>
              <w:rPr>
                <w:sz w:val="17"/>
              </w:rPr>
              <w:t>3/20/2026 –</w:t>
            </w:r>
            <w:r>
              <w:rPr>
                <w:sz w:val="17"/>
              </w:rPr>
              <w:br/>
              <w:t>3/20/2027</w:t>
            </w:r>
          </w:p>
        </w:tc>
      </w:tr>
      <w:tr>
        <w:tc>
          <w:tcPr>
            <w:tcW w:type="dxa" w:w="1872"/>
            <w:vAlign w:val="center"/>
          </w:tcPr>
          <w:p>
            <w:pPr>
              <w:spacing w:after="0"/>
            </w:pPr>
            <w:r>
              <w:rPr>
                <w:sz w:val="17"/>
              </w:rPr>
              <w:t>General Liability</w:t>
            </w:r>
            <w:r>
              <w:rPr>
                <w:sz w:val="17"/>
              </w:rPr>
              <w:br/>
              <w:t>(Businessowners Policy)</w:t>
            </w:r>
          </w:p>
        </w:tc>
        <w:tc>
          <w:tcPr>
            <w:tcW w:type="dxa" w:w="2736"/>
            <w:vAlign w:val="center"/>
          </w:tcPr>
          <w:p>
            <w:pPr>
              <w:spacing w:after="0"/>
            </w:pPr>
            <w:r>
              <w:rPr>
                <w:sz w:val="17"/>
              </w:rPr>
              <w:t>Accredited Surety and</w:t>
            </w:r>
            <w:r>
              <w:rPr>
                <w:sz w:val="17"/>
              </w:rPr>
              <w:br/>
              <w:t>Casualty Company</w:t>
            </w:r>
          </w:p>
        </w:tc>
        <w:tc>
          <w:tcPr>
            <w:tcW w:type="dxa" w:w="1656"/>
            <w:vAlign w:val="center"/>
          </w:tcPr>
          <w:p>
            <w:pPr>
              <w:spacing w:after="0"/>
            </w:pPr>
            <w:r>
              <w:rPr>
                <w:sz w:val="17"/>
              </w:rPr>
              <w:t>1ABPNY05135259201</w:t>
            </w:r>
          </w:p>
        </w:tc>
        <w:tc>
          <w:tcPr>
            <w:tcW w:type="dxa" w:w="2520"/>
            <w:vAlign w:val="center"/>
          </w:tcPr>
          <w:p>
            <w:pPr>
              <w:spacing w:after="0"/>
            </w:pPr>
            <w:r>
              <w:rPr>
                <w:sz w:val="17"/>
              </w:rPr>
              <w:t>$1,000,000 each occurrence /</w:t>
            </w:r>
            <w:r>
              <w:rPr>
                <w:sz w:val="17"/>
              </w:rPr>
              <w:br/>
              <w:t>$2,000,000 general aggregate</w:t>
            </w:r>
          </w:p>
        </w:tc>
        <w:tc>
          <w:tcPr>
            <w:tcW w:type="dxa" w:w="1440"/>
            <w:vAlign w:val="center"/>
          </w:tcPr>
          <w:p>
            <w:pPr>
              <w:spacing w:after="0"/>
            </w:pPr>
            <w:r>
              <w:rPr>
                <w:sz w:val="17"/>
              </w:rPr>
              <w:t>11/1/2024 –</w:t>
            </w:r>
            <w:r>
              <w:rPr>
                <w:sz w:val="17"/>
              </w:rPr>
              <w:br/>
              <w:t>11/1/2025 *</w:t>
            </w:r>
          </w:p>
        </w:tc>
      </w:tr>
      <w:tr>
        <w:tc>
          <w:tcPr>
            <w:tcW w:type="dxa" w:w="1872"/>
            <w:vAlign w:val="center"/>
          </w:tcPr>
          <w:p>
            <w:pPr>
              <w:spacing w:after="0"/>
            </w:pPr>
            <w:r>
              <w:rPr>
                <w:sz w:val="17"/>
              </w:rPr>
              <w:t>Fidelity / Employee</w:t>
            </w:r>
            <w:r>
              <w:rPr>
                <w:sz w:val="17"/>
              </w:rPr>
              <w:br/>
              <w:t>Dishonesty Bond</w:t>
            </w:r>
          </w:p>
        </w:tc>
        <w:tc>
          <w:tcPr>
            <w:tcW w:type="dxa" w:w="2736"/>
            <w:vAlign w:val="center"/>
          </w:tcPr>
          <w:p>
            <w:pPr>
              <w:spacing w:after="0"/>
            </w:pPr>
            <w:r>
              <w:rPr>
                <w:sz w:val="17"/>
              </w:rPr>
              <w:t>The Ohio Casualty Insurance</w:t>
            </w:r>
            <w:r>
              <w:rPr>
                <w:sz w:val="17"/>
              </w:rPr>
              <w:br/>
              <w:t>Company (a Liberty Mutual company)</w:t>
            </w:r>
          </w:p>
        </w:tc>
        <w:tc>
          <w:tcPr>
            <w:tcW w:type="dxa" w:w="1656"/>
            <w:vAlign w:val="center"/>
          </w:tcPr>
          <w:p>
            <w:pPr>
              <w:spacing w:after="0"/>
            </w:pPr>
            <w:r>
              <w:rPr>
                <w:sz w:val="17"/>
              </w:rPr>
              <w:t>948949334</w:t>
            </w:r>
          </w:p>
        </w:tc>
        <w:tc>
          <w:tcPr>
            <w:tcW w:type="dxa" w:w="2520"/>
            <w:vAlign w:val="center"/>
          </w:tcPr>
          <w:p>
            <w:pPr>
              <w:spacing w:after="0"/>
            </w:pPr>
            <w:r>
              <w:rPr>
                <w:sz w:val="17"/>
              </w:rPr>
              <w:t>$1,000,000</w:t>
            </w:r>
          </w:p>
        </w:tc>
        <w:tc>
          <w:tcPr>
            <w:tcW w:type="dxa" w:w="1440"/>
            <w:vAlign w:val="center"/>
          </w:tcPr>
          <w:p>
            <w:pPr>
              <w:spacing w:after="0"/>
            </w:pPr>
            <w:r>
              <w:rPr>
                <w:sz w:val="17"/>
              </w:rPr>
              <w:t>Eff. 5/29/2025,</w:t>
            </w:r>
            <w:r>
              <w:rPr>
                <w:sz w:val="17"/>
              </w:rPr>
              <w:br/>
              <w:t>continuous</w:t>
            </w:r>
          </w:p>
        </w:tc>
      </w:tr>
      <w:tr>
        <w:tc>
          <w:tcPr>
            <w:tcW w:type="dxa" w:w="1872"/>
            <w:vAlign w:val="center"/>
          </w:tcPr>
          <w:p>
            <w:pPr>
              <w:spacing w:after="0"/>
            </w:pPr>
            <w:r>
              <w:rPr>
                <w:sz w:val="17"/>
              </w:rPr>
              <w:t>Cyber Liability</w:t>
            </w:r>
          </w:p>
        </w:tc>
        <w:tc>
          <w:tcPr>
            <w:tcW w:type="dxa" w:w="2736"/>
            <w:vAlign w:val="center"/>
          </w:tcPr>
          <w:p>
            <w:pPr>
              <w:spacing w:after="0"/>
            </w:pPr>
            <w:r>
              <w:rPr>
                <w:sz w:val="17"/>
              </w:rPr>
              <w:t>Technology Insurance Company</w:t>
            </w:r>
            <w:r>
              <w:rPr>
                <w:sz w:val="17"/>
              </w:rPr>
              <w:br/>
              <w:t>(an AmTrust Financial company)</w:t>
            </w:r>
          </w:p>
        </w:tc>
        <w:tc>
          <w:tcPr>
            <w:tcW w:type="dxa" w:w="1656"/>
            <w:vAlign w:val="center"/>
          </w:tcPr>
          <w:p>
            <w:pPr>
              <w:spacing w:after="0"/>
            </w:pPr>
            <w:r>
              <w:rPr>
                <w:sz w:val="17"/>
              </w:rPr>
              <w:t>TCL1741067 01</w:t>
            </w:r>
          </w:p>
        </w:tc>
        <w:tc>
          <w:tcPr>
            <w:tcW w:type="dxa" w:w="2520"/>
            <w:vAlign w:val="center"/>
          </w:tcPr>
          <w:p>
            <w:pPr>
              <w:spacing w:after="0"/>
            </w:pPr>
            <w:r>
              <w:rPr>
                <w:sz w:val="17"/>
              </w:rPr>
              <w:t>$1,000,000 aggregate</w:t>
            </w:r>
          </w:p>
        </w:tc>
        <w:tc>
          <w:tcPr>
            <w:tcW w:type="dxa" w:w="1440"/>
            <w:vAlign w:val="center"/>
          </w:tcPr>
          <w:p>
            <w:pPr>
              <w:spacing w:after="0"/>
            </w:pPr>
            <w:r>
              <w:rPr>
                <w:sz w:val="17"/>
              </w:rPr>
              <w:t>~3/18/2025 –</w:t>
            </w:r>
            <w:r>
              <w:rPr>
                <w:sz w:val="17"/>
              </w:rPr>
              <w:br/>
              <w:t>3/18/2026 *</w:t>
            </w:r>
          </w:p>
        </w:tc>
      </w:tr>
    </w:tbl>
    <w:p>
      <w:pPr>
        <w:spacing w:before="280"/>
        <w:shd w:val="clear" w:color="auto" w:fill="FBEAEA"/>
      </w:pPr>
      <w:r>
        <w:rPr>
          <w:i/>
          <w:color w:val="A32A2A"/>
          <w:sz w:val="18"/>
        </w:rPr>
        <w:t>* General Liability and Cyber Liability are shown as reflected in the most recent policy documents on file. Please confirm with the broker that both have been renewed for the current term before this summary is circulated externally.</w:t>
      </w:r>
    </w:p>
    <w:p>
      <w:pPr>
        <w:spacing w:before="320"/>
      </w:pPr>
      <w:r>
        <w:rPr>
          <w:i/>
          <w:color w:val="666666"/>
          <w:sz w:val="18"/>
        </w:rPr>
        <w:t>Questions about this summary or requests for a formal Certificate of Insurance should be directed to Camelot's management office.</w:t>
      </w:r>
    </w:p>
    <w:sectPr w:rsidR="00FC693F" w:rsidRPr="0006063C" w:rsidSect="00034616">
      <w:headerReference w:type="default" r:id="rId9"/>
      <w:footerReference w:type="default" r:id="rId10"/>
      <w:pgSz w:w="12240" w:h="15840"/>
      <w:pgMar w:top="1872" w:right="1296" w:bottom="1584" w:left="129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80"/>
      <w:jc w:val="center"/>
      <w:pBdr>
        <w:top w:val="single" w:sz="6" w:space="4" w:color="C9A227"/>
      </w:pBdr>
    </w:pPr>
    <w:r>
      <w:rPr>
        <w:rFonts w:ascii="Georgia" w:hAnsi="Georgia"/>
        <w:color w:val="666666"/>
        <w:sz w:val="15"/>
      </w:rPr>
      <w:t>57 West 57th Street, Suite 410, New York, NY 10019   ·   (212) 206-9939   ·   info@camelot.nyc   ·   www.camelot.nyc</w:t>
    </w:r>
  </w:p>
  <w:p>
    <w:pPr>
      <w:jc w:val="center"/>
    </w:pPr>
    <w:r>
      <w:rPr>
        <w:color w:val="999999"/>
        <w:sz w:val="14"/>
      </w:rPr>
      <w:t xml:space="preserve">CONFIDENTIAL — FOR GENERAL INFORMATIONAL PURPOSES  ·  Page </w:t>
    </w:r>
    <w:r>
      <w:fldChar w:fldCharType="begin"/>
      <w:instrText xml:space="preserve"> PAGE </w:instrText>
      <w:fldChar w:fldCharType="separate"/>
      <w:fldChar w:fldCharType="end"/>
    </w:r>
    <w:r>
      <w:rPr>
        <w:color w:val="999999"/>
        <w:sz w:val="14"/>
      </w:rP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864"/>
      <w:gridCol w:w="5760"/>
    </w:tblGrid>
    <w:tr>
      <w:tc>
        <w:tcPr>
          <w:tcW w:type="dxa" w:w="864"/>
          <w:vAlign w:val="center"/>
        </w:tcPr>
        <w:p>
          <w:pPr>
            <w:jc w:val="center"/>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camelot-gold-logo.png"/>
                        <pic:cNvPicPr/>
                      </pic:nvPicPr>
                      <pic:blipFill>
                        <a:blip r:embed="rId1"/>
                        <a:stretch>
                          <a:fillRect/>
                        </a:stretch>
                      </pic:blipFill>
                      <pic:spPr>
                        <a:xfrm>
                          <a:off x="0" y="0"/>
                          <a:ext cx="384048" cy="384048"/>
                        </a:xfrm>
                        <a:prstGeom prst="rect"/>
                      </pic:spPr>
                    </pic:pic>
                  </a:graphicData>
                </a:graphic>
              </wp:inline>
            </w:drawing>
          </w:r>
        </w:p>
      </w:tc>
      <w:tc>
        <w:tcPr>
          <w:tcW w:type="dxa" w:w="5760"/>
          <w:vAlign w:val="center"/>
        </w:tcPr>
        <w:p>
          <w:pPr>
            <w:spacing w:after="20"/>
            <w:jc w:val="left"/>
          </w:pPr>
          <w:r>
            <w:rPr>
              <w:rFonts w:ascii="Georgia" w:hAnsi="Georgia"/>
              <w:b/>
              <w:color w:val="162B4D"/>
              <w:sz w:val="24"/>
            </w:rPr>
            <w:t>CAMELOT REALTY GROUP</w:t>
          </w:r>
        </w:p>
        <w:p>
          <w:pPr>
            <w:spacing w:after="20"/>
            <w:jc w:val="left"/>
          </w:pPr>
          <w:r>
            <w:rPr>
              <w:rFonts w:ascii="Georgia" w:hAnsi="Georgia"/>
              <w:color w:val="666666"/>
              <w:sz w:val="13"/>
            </w:rPr>
            <w:t>REAL ESTATE · PROPERTY MGMT · BROKERAGE · INVESTMENT SERVICES</w:t>
          </w:r>
        </w:p>
        <w:p>
          <w:pPr>
            <w:spacing w:after="0"/>
            <w:jc w:val="left"/>
          </w:pPr>
          <w:r>
            <w:rPr>
              <w:rFonts w:ascii="Georgia" w:hAnsi="Georgia"/>
              <w:i/>
              <w:color w:val="C9A227"/>
              <w:sz w:val="18"/>
            </w:rPr>
            <w:t xml:space="preserve">New Yorkers Working for New Yorkers  </w:t>
          </w:r>
          <w:r>
            <w:rPr>
              <w:rFonts w:ascii="Georgia" w:hAnsi="Georgia"/>
              <w:color w:val="000000"/>
              <w:sz w:val="16"/>
            </w:rPr>
            <w:t>EST. 2006</w:t>
          </w:r>
        </w:p>
      </w:tc>
    </w:tr>
  </w:tbl>
  <w:p>
    <w:pPr>
      <w:spacing w:before="80" w:after="80"/>
      <w:pBdr>
        <w:bottom w:val="single" w:sz="6" w:space="4" w:color="C9A227"/>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