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  <w:jc w:val="center"/>
      </w:pPr>
      <w:r>
        <w:rPr>
          <w:rFonts w:ascii="Georgia" w:hAnsi="Georgia"/>
          <w:b/>
          <w:color w:val="162B4D"/>
          <w:sz w:val="34"/>
        </w:rPr>
        <w:t>MANAGEMENT TRANSITION MANIFEST CHECKLIST</w:t>
      </w:r>
    </w:p>
    <w:p>
      <w:pPr>
        <w:spacing w:after="320"/>
        <w:jc w:val="center"/>
        <w:shd w:val="clear" w:color="auto" w:fill="F2E8C9"/>
      </w:pPr>
      <w:r>
        <w:rPr>
          <w:i/>
          <w:color w:val="162B4D"/>
          <w:sz w:val="18"/>
        </w:rPr>
        <w:t>Use when onboarding a new property or transitioning management from a prior agent, per REBNY transition guidelines.</w:t>
      </w:r>
    </w:p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TRANSITION ITEMS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1584"/>
        <w:gridCol w:w="1584"/>
        <w:gridCol w:w="2448"/>
      </w:tblGrid>
      <w:tr>
        <w:tc>
          <w:tcPr>
            <w:tcW w:type="dxa" w:w="4320"/>
            <w:shd w:val="clear" w:color="auto" w:fill="162B4D"/>
            <w:vAlign w:val="center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584"/>
            <w:shd w:val="clear" w:color="auto" w:fill="162B4D"/>
            <w:vAlign w:val="center"/>
          </w:tcPr>
          <w:p>
            <w:r>
              <w:rPr>
                <w:b/>
                <w:color w:val="FFFFFF"/>
                <w:sz w:val="18"/>
              </w:rPr>
              <w:t>Received (Y/N)</w:t>
            </w:r>
          </w:p>
        </w:tc>
        <w:tc>
          <w:tcPr>
            <w:tcW w:type="dxa" w:w="1584"/>
            <w:shd w:val="clear" w:color="auto" w:fill="162B4D"/>
            <w:vAlign w:val="center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448"/>
            <w:shd w:val="clear" w:color="auto" w:fill="162B4D"/>
            <w:vAlign w:val="cente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Financial records &amp; books of account</w:t>
            </w:r>
          </w:p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  <w:tc>
          <w:tcPr>
            <w:tcW w:type="dxa" w:w="2448"/>
          </w:tcPr>
          <w:p/>
        </w:tc>
      </w:tr>
      <w:tr>
        <w:tc>
          <w:tcPr>
            <w:tcW w:type="dxa" w:w="4320"/>
          </w:tcPr>
          <w:p>
            <w:r>
              <w:rPr>
                <w:sz w:val="19"/>
              </w:rPr>
              <w:t>Bank account signatory access</w:t>
            </w:r>
          </w:p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  <w:tc>
          <w:tcPr>
            <w:tcW w:type="dxa" w:w="2448"/>
          </w:tcPr>
          <w:p/>
        </w:tc>
      </w:tr>
      <w:tr>
        <w:tc>
          <w:tcPr>
            <w:tcW w:type="dxa" w:w="4320"/>
          </w:tcPr>
          <w:p>
            <w:r>
              <w:rPr>
                <w:sz w:val="19"/>
              </w:rPr>
              <w:t>Keys / fobs / access devices inventory</w:t>
            </w:r>
          </w:p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  <w:tc>
          <w:tcPr>
            <w:tcW w:type="dxa" w:w="2448"/>
          </w:tcPr>
          <w:p/>
        </w:tc>
      </w:tr>
      <w:tr>
        <w:tc>
          <w:tcPr>
            <w:tcW w:type="dxa" w:w="4320"/>
          </w:tcPr>
          <w:p>
            <w:r>
              <w:rPr>
                <w:sz w:val="19"/>
              </w:rPr>
              <w:t>Vendor contracts</w:t>
            </w:r>
          </w:p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  <w:tc>
          <w:tcPr>
            <w:tcW w:type="dxa" w:w="2448"/>
          </w:tcPr>
          <w:p/>
        </w:tc>
      </w:tr>
      <w:tr>
        <w:tc>
          <w:tcPr>
            <w:tcW w:type="dxa" w:w="4320"/>
          </w:tcPr>
          <w:p>
            <w:r>
              <w:rPr>
                <w:sz w:val="19"/>
              </w:rPr>
              <w:t>Insurance certificates (COIs)</w:t>
            </w:r>
          </w:p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  <w:tc>
          <w:tcPr>
            <w:tcW w:type="dxa" w:w="2448"/>
          </w:tcPr>
          <w:p/>
        </w:tc>
      </w:tr>
      <w:tr>
        <w:tc>
          <w:tcPr>
            <w:tcW w:type="dxa" w:w="4320"/>
          </w:tcPr>
          <w:p>
            <w:r>
              <w:rPr>
                <w:sz w:val="19"/>
              </w:rPr>
              <w:t>Employee records</w:t>
            </w:r>
          </w:p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  <w:tc>
          <w:tcPr>
            <w:tcW w:type="dxa" w:w="2448"/>
          </w:tcPr>
          <w:p/>
        </w:tc>
      </w:tr>
      <w:tr>
        <w:tc>
          <w:tcPr>
            <w:tcW w:type="dxa" w:w="4320"/>
          </w:tcPr>
          <w:p>
            <w:r>
              <w:rPr>
                <w:sz w:val="19"/>
              </w:rPr>
              <w:t>Outstanding violations list</w:t>
            </w:r>
          </w:p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  <w:tc>
          <w:tcPr>
            <w:tcW w:type="dxa" w:w="2448"/>
          </w:tcPr>
          <w:p/>
        </w:tc>
      </w:tr>
      <w:tr>
        <w:tc>
          <w:tcPr>
            <w:tcW w:type="dxa" w:w="4320"/>
          </w:tcPr>
          <w:p>
            <w:r>
              <w:rPr>
                <w:sz w:val="19"/>
              </w:rPr>
              <w:t>Capital project status reports</w:t>
            </w:r>
          </w:p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  <w:tc>
          <w:tcPr>
            <w:tcW w:type="dxa" w:w="2448"/>
          </w:tcPr>
          <w:p/>
        </w:tc>
      </w:tr>
      <w:tr>
        <w:tc>
          <w:tcPr>
            <w:tcW w:type="dxa" w:w="4320"/>
          </w:tcPr>
          <w:p>
            <w:r>
              <w:rPr>
                <w:sz w:val="19"/>
              </w:rPr>
              <w:t>Reserve fund balance confirmation</w:t>
            </w:r>
          </w:p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  <w:tc>
          <w:tcPr>
            <w:tcW w:type="dxa" w:w="2448"/>
          </w:tcPr>
          <w:p/>
        </w:tc>
      </w:tr>
      <w:tr>
        <w:tc>
          <w:tcPr>
            <w:tcW w:type="dxa" w:w="4320"/>
          </w:tcPr>
          <w:p>
            <w:r>
              <w:rPr>
                <w:sz w:val="19"/>
              </w:rPr>
              <w:t>Resident / Unit Owner contact list</w:t>
            </w:r>
          </w:p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  <w:tc>
          <w:tcPr>
            <w:tcW w:type="dxa" w:w="2448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872" w:right="1296" w:bottom="1584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/>
      <w:jc w:val="center"/>
      <w:pBdr>
        <w:top w:val="single" w:sz="6" w:space="4" w:color="C9A227"/>
      </w:pBdr>
    </w:pPr>
    <w:r>
      <w:rPr>
        <w:rFonts w:ascii="Georgia" w:hAnsi="Georgia"/>
        <w:color w:val="666666"/>
        <w:sz w:val="15"/>
      </w:rPr>
      <w:t>57 West 57th Street, Suite 410, New York, NY 10019   ·   (212) 206-9939   ·   info@camelot.nyc   ·   www.camelot.nyc</w:t>
    </w:r>
  </w:p>
  <w:p>
    <w:pPr>
      <w:jc w:val="center"/>
    </w:pPr>
    <w:r>
      <w:rPr>
        <w:color w:val="999999"/>
        <w:sz w:val="14"/>
      </w:rPr>
      <w:t xml:space="preserve">CONFIDENTIAL — TEMPLATE FOR INTERNAL USE  ·  Page </w:t>
    </w:r>
    <w:r>
      <w:fldChar w:fldCharType="begin"/>
      <w:instrText xml:space="preserve"> PAGE </w:instrText>
      <w:fldChar w:fldCharType="separate"/>
      <w:fldChar w:fldCharType="end"/>
    </w:r>
    <w:r>
      <w:rPr>
        <w:color w:val="999999"/>
        <w:sz w:val="14"/>
      </w:rPr>
      <w:t xml:space="preserve"> of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64"/>
      <w:gridCol w:w="5760"/>
    </w:tblGrid>
    <w:tr>
      <w:tc>
        <w:tcPr>
          <w:tcW w:type="dxa" w:w="864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384048" cy="38404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amelot-gold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38404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  <w:vAlign w:val="center"/>
        </w:tcPr>
        <w:p>
          <w:pPr>
            <w:spacing w:after="20"/>
            <w:jc w:val="left"/>
          </w:pPr>
          <w:r>
            <w:rPr>
              <w:rFonts w:ascii="Georgia" w:hAnsi="Georgia"/>
              <w:b/>
              <w:color w:val="162B4D"/>
              <w:sz w:val="24"/>
            </w:rPr>
            <w:t>CAMELOT REALTY GROUP</w:t>
          </w:r>
        </w:p>
        <w:p>
          <w:pPr>
            <w:spacing w:after="20"/>
            <w:jc w:val="left"/>
          </w:pPr>
          <w:r>
            <w:rPr>
              <w:rFonts w:ascii="Georgia" w:hAnsi="Georgia"/>
              <w:color w:val="666666"/>
              <w:sz w:val="13"/>
            </w:rPr>
            <w:t>REAL ESTATE · PROPERTY MGMT · BROKERAGE · INVESTMENT SERVICES</w:t>
          </w:r>
        </w:p>
        <w:p>
          <w:pPr>
            <w:spacing w:after="0"/>
            <w:jc w:val="left"/>
          </w:pPr>
          <w:r>
            <w:rPr>
              <w:rFonts w:ascii="Georgia" w:hAnsi="Georgia"/>
              <w:i/>
              <w:color w:val="C9A227"/>
              <w:sz w:val="18"/>
            </w:rPr>
            <w:t xml:space="preserve">New Yorkers Working for New Yorkers  </w:t>
          </w:r>
          <w:r>
            <w:rPr>
              <w:rFonts w:ascii="Georgia" w:hAnsi="Georgia"/>
              <w:color w:val="000000"/>
              <w:sz w:val="16"/>
            </w:rPr>
            <w:t>EST. 2006</w:t>
          </w:r>
        </w:p>
      </w:tc>
    </w:tr>
  </w:tbl>
  <w:p>
    <w:pPr>
      <w:spacing w:before="80" w:after="80"/>
      <w:pBdr>
        <w:bottom w:val="single" w:sz="6" w:space="4" w:color="C9A227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