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rStyle w:val="Strong"/>
          <w:lang w:val="en-US" w:eastAsia="zh-CN" w:bidi="hi-IN"/>
        </w:rPr>
        <w:t>Supplementary Figures: Ivermectin-like chloride modulation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4"/>
          <w:szCs w:val="24"/>
          <w:lang w:val="en-US" w:eastAsia="zh-CN" w:bidi="hi-IN"/>
        </w:rPr>
      </w:pPr>
      <w:r>
        <w:rPr>
          <w:rFonts w:ascii="Times New Roman" w:hAnsi="Times New Roman"/>
          <w:b w:val="false"/>
          <w:bCs w:val="false"/>
          <w:sz w:val="24"/>
          <w:szCs w:val="24"/>
          <w:lang w:val="en-US" w:eastAsia="zh-CN" w:bidi="hi-IN"/>
        </w:rPr>
      </w:r>
    </w:p>
    <w:p>
      <w:pPr>
        <w:pStyle w:val="Normal"/>
        <w:bidi w:val="0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i/>
          <w:iCs/>
          <w:lang w:val="en-US" w:eastAsia="zh-CN" w:bidi="hi-IN"/>
        </w:rPr>
        <w:t>Figure S</w:t>
      </w:r>
      <w:r>
        <w:rPr>
          <w:rStyle w:val="Strong"/>
          <w:rFonts w:ascii="Times New Roman" w:hAnsi="Times New Roman"/>
          <w:b w:val="false"/>
          <w:bCs w:val="false"/>
          <w:i/>
          <w:iCs/>
          <w:lang w:val="en-US" w:eastAsia="zh-CN" w:bidi="hi-IN"/>
        </w:rPr>
        <w:t>1</w:t>
      </w:r>
      <w:r>
        <w:rPr>
          <w:rStyle w:val="Strong"/>
          <w:rFonts w:ascii="Times New Roman" w:hAnsi="Times New Roman"/>
          <w:b w:val="false"/>
          <w:bCs w:val="false"/>
          <w:i/>
          <w:iCs/>
          <w:lang w:val="en-US" w:eastAsia="zh-CN" w:bidi="hi-IN"/>
        </w:rPr>
        <w:t xml:space="preserve">. </w:t>
      </w:r>
      <w:r>
        <w:rPr>
          <w:rStyle w:val="Strong"/>
          <w:b w:val="false"/>
          <w:bCs w:val="false"/>
          <w:i/>
          <w:iCs/>
          <w:lang w:val="en-US" w:eastAsia="zh-CN" w:bidi="hi-IN"/>
        </w:rPr>
        <w:t>Single</w:t>
        <w:noBreakHyphen/>
        <w:t>cell dose–response to an ivermectin</w:t>
        <w:noBreakHyphen/>
        <w:t>like chloride conductance modulation.</w:t>
        <w:br/>
        <w:t>A reduced single</w:t>
        <w:noBreakHyphen/>
        <w:t>cell ODE model was used to examine the effect of scaling an effective chloride</w:t>
        <w:noBreakHyphen/>
        <w:t>related conductance on the normalized membrane potential (Vnorm [-40 mV baseline ±10-20 mV perturbations]). Increasing the ivermectin</w:t>
        <w:noBreakHyphen/>
        <w:t>like conductance factor produced a smooth, monotonic decrease in steady</w:t>
        <w:noBreakHyphen/>
        <w:t>state Vnorm across a broad range of scaling values, yielding a hyperpolarizing dose–response curve that is complementary to the depolarizing simulated Na</w:t>
      </w:r>
      <w:r>
        <w:rPr>
          <w:rStyle w:val="Strong"/>
          <w:b w:val="false"/>
          <w:bCs w:val="false"/>
          <w:i/>
          <w:iCs/>
          <w:vertAlign w:val="superscript"/>
          <w:lang w:val="en-US" w:eastAsia="zh-CN" w:bidi="hi-IN"/>
        </w:rPr>
        <w:t>+</w:t>
      </w:r>
      <w:r>
        <w:rPr>
          <w:rStyle w:val="Strong"/>
          <w:b w:val="false"/>
          <w:bCs w:val="false"/>
          <w:i/>
          <w:iCs/>
          <w:lang w:val="en-US" w:eastAsia="zh-CN" w:bidi="hi-IN"/>
        </w:rPr>
        <w:t>-blockade (amiloride</w:t>
        <w:noBreakHyphen/>
        <w:t>like) behavior in the main text.</w:t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  <w:lang w:val="en-US" w:eastAsia="zh-CN" w:bidi="hi-IN"/>
        </w:rPr>
      </w:pPr>
      <w:r>
        <w:rPr>
          <w:b w:val="false"/>
          <w:bCs w:val="false"/>
          <w:i/>
          <w:iCs/>
          <w:lang w:val="en-US" w:eastAsia="zh-CN" w:bidi="hi-IN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5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GB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1</Pages>
  <Words>85</Words>
  <Characters>578</Characters>
  <CharactersWithSpaces>659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2026-01-05T12:28:11Z</dcterms:created>
  <dc:creator>Cameron</dc:creator>
  <dc:description/>
  <dc:language>en-GB</dc:language>
  <cp:lastModifiedBy>Cameron</cp:lastModifiedBy>
  <dcterms:modified xsi:type="dcterms:W3CDTF">2026-02-27T18:38:18Z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