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Figure S</w:t>
      </w:r>
      <w:r>
        <w:rPr>
          <w:rStyle w:val="Strong"/>
        </w:rPr>
        <w:t>4</w:t>
      </w:r>
      <w:r>
        <w:rPr>
          <w:rStyle w:val="Strong"/>
        </w:rPr>
        <w:t xml:space="preserve">. </w:t>
      </w:r>
      <w:r>
        <w:rPr>
          <w:rStyle w:val="Strong"/>
          <w:b w:val="false"/>
          <w:bCs w:val="false"/>
        </w:rPr>
        <w:t>Evolutionary recovery of a drug</w:t>
        <w:noBreakHyphen/>
        <w:t>perturbed bioelectric goal state. (A) DEAP</w:t>
        <w:noBreakHyphen/>
        <w:t>based evolutionary search rapidly minimizes the mean</w:t>
        <w:noBreakHyphen/>
        <w:t>squared error between the ivermectin</w:t>
        <w:noBreakHyphen/>
        <w:t>perturbed tissue voltage pattern and a predefined target pattern, converging from an initial error of 0.12 to ≈0.01 over 15 generations. This illustrates that modest adjustments of a low</w:t>
        <w:noBreakHyphen/>
        <w:t>dimensional parameter set (kinetic rates and/or coupling strength) are sufficient to restore a target</w:t>
        <w:noBreakHyphen/>
        <w:t>like Vmem distribution under fixed chloride channel-like modulation. (B) Normalized steady</w:t>
        <w:noBreakHyphen/>
        <w:t>state Vmem patterns for the same 10×10 lattice: initial uniform state (left), DEAP</w:t>
        <w:noBreakHyphen/>
        <w:t>evolved pattern (center) and target pattern (right). The evolved configuration closely reproduces the target central high</w:t>
        <w:noBreakHyphen/>
        <w:t>Vmem domain despite continued ivermectin</w:t>
        <w:noBreakHyphen/>
        <w:t>like scaling, demonstrating that multiple microscopic parameter combinations can realize the same macroscopic bioelectric goal state and supporting the existence of parameter</w:t>
        <w:noBreakHyphen/>
        <w:t>degenerate, yet shape</w:t>
        <w:noBreakHyphen/>
        <w:t>preserving, solutions in this minimal tissue</w:t>
        <w:noBreakHyphen/>
        <w:t>level model.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133</Words>
  <Characters>924</Characters>
  <CharactersWithSpaces>1056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2026-02-17T10:23:16Z</dcterms:created>
  <dc:creator>Cameron</dc:creator>
  <dc:description/>
  <dc:language>en-GB</dc:language>
  <cp:lastModifiedBy>Cameron</cp:lastModifiedBy>
  <dcterms:modified xsi:type="dcterms:W3CDTF">2026-02-27T18:58:26Z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