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lineRule="auto" w:line="341" w:before="0" w:after="283"/>
        <w:ind w:hanging="0" w:start="0" w:end="0"/>
        <w:jc w:val="start"/>
        <w:rPr/>
      </w:pPr>
      <w:r>
        <w:rPr>
          <w:rStyle w:val="SourceText"/>
          <w:rFonts w:ascii="Times New Roman" w:hAnsi="Times New Roman"/>
          <w:color w:val="000000"/>
          <w:sz w:val="24"/>
          <w:szCs w:val="24"/>
          <w:shd w:fill="auto" w:val="clear"/>
        </w:rPr>
        <w:t>Table S1. Model parameters and computational framework. Comprehensive parameter table spanning biophysical scaling, single-cell bioelectric ODE (dX/dt = k₁V − k₂XV; dV/dt = −k₃V), ivermectin tissue perturbation (10×10 grid, 2× k₃ left-half scaling), DEAP evolutionary optimization (k₁,k₂,k₃ ∈ [0.5,2.0]×baseline; cxBlend α=0.5; mutGaussian σ=0.2), and propranolol PK model (Figure 5). All rates preserve physiological timescales (minutes–hours); Vmem normalized as Vnorm = (Vmem + 40 mV) / 20 mV. indpb = per-gene mutation probability; cxBlend = DEAP real-valued blend crossover operator.</w:t>
      </w:r>
    </w:p>
    <w:p>
      <w:pPr>
        <w:pStyle w:val="Normal"/>
        <w:bidi w:val="0"/>
        <w:jc w:val="start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5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1</Pages>
  <Words>92</Words>
  <Characters>510</Characters>
  <CharactersWithSpaces>588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2026-02-27T18:06:09Z</dcterms:created>
  <dc:creator>Cameron</dc:creator>
  <dc:description/>
  <dc:language>en-GB</dc:language>
  <cp:lastModifiedBy>Cameron</cp:lastModifiedBy>
  <dcterms:modified xsi:type="dcterms:W3CDTF">2026-02-27T18:07:28Z</dcterms:modified>
  <cp:revision>1</cp:revision>
  <dc:subject/>
  <dc:title/>
</cp:coreProperties>
</file>