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rStyle w:val="Strong"/>
          <w:b w:val="false"/>
          <w:bCs w:val="false"/>
        </w:rPr>
        <w:t xml:space="preserve">Table S2. </w:t>
      </w:r>
      <w:r>
        <w:rPr>
          <w:rStyle w:val="Strong"/>
          <w:b w:val="false"/>
          <w:bCs w:val="false"/>
        </w:rPr>
        <w:t>Pharmacological mapping of legacy drugs to minimal ODE model perturbations.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</Pages>
  <Words>12</Words>
  <Characters>74</Characters>
  <CharactersWithSpaces>85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2026-02-27T18:11:09Z</dcterms:created>
  <dc:creator>Cameron</dc:creator>
  <dc:description/>
  <dc:language>en-GB</dc:language>
  <cp:lastModifiedBy>Cameron</cp:lastModifiedBy>
  <dcterms:modified xsi:type="dcterms:W3CDTF">2026-02-27T18:11:40Z</dcterms:modified>
  <cp:revision>1</cp:revision>
  <dc:subject/>
  <dc:title/>
</cp:coreProperties>
</file>