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</w:rPr>
        <w:t>Table S3.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231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30"/>
        <w:gridCol w:w="797"/>
        <w:gridCol w:w="741"/>
        <w:gridCol w:w="732"/>
        <w:gridCol w:w="1417"/>
        <w:gridCol w:w="1813"/>
      </w:tblGrid>
      <w:tr>
        <w:trPr/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Run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Final MSE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%Target Match</w:t>
            </w:r>
          </w:p>
        </w:tc>
      </w:tr>
      <w:tr>
        <w:trPr/>
        <w:tc>
          <w:tcPr>
            <w:tcW w:w="7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1.42</w:t>
            </w:r>
          </w:p>
        </w:tc>
        <w:tc>
          <w:tcPr>
            <w:tcW w:w="7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0.87</w:t>
            </w:r>
          </w:p>
        </w:tc>
        <w:tc>
          <w:tcPr>
            <w:tcW w:w="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1.63</w:t>
            </w:r>
          </w:p>
        </w:tc>
        <w:tc>
          <w:tcPr>
            <w:tcW w:w="14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0.009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95.2</w:t>
            </w:r>
          </w:p>
        </w:tc>
      </w:tr>
      <w:tr>
        <w:trPr/>
        <w:tc>
          <w:tcPr>
            <w:tcW w:w="7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1.28</w:t>
            </w:r>
          </w:p>
        </w:tc>
        <w:tc>
          <w:tcPr>
            <w:tcW w:w="7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1.05</w:t>
            </w:r>
          </w:p>
        </w:tc>
        <w:tc>
          <w:tcPr>
            <w:tcW w:w="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1.71</w:t>
            </w:r>
          </w:p>
        </w:tc>
        <w:tc>
          <w:tcPr>
            <w:tcW w:w="14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0.008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96.1</w:t>
            </w:r>
          </w:p>
        </w:tc>
      </w:tr>
      <w:tr>
        <w:trPr/>
        <w:tc>
          <w:tcPr>
            <w:tcW w:w="7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1.55</w:t>
            </w:r>
          </w:p>
        </w:tc>
        <w:tc>
          <w:tcPr>
            <w:tcW w:w="7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0.92</w:t>
            </w:r>
          </w:p>
        </w:tc>
        <w:tc>
          <w:tcPr>
            <w:tcW w:w="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1.48</w:t>
            </w:r>
          </w:p>
        </w:tc>
        <w:tc>
          <w:tcPr>
            <w:tcW w:w="14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0.010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94.8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Notes: Parameters are optimized within physiological bounds [0.5, 2.0]. Identical DEAP settings (population=100, tournsize=3, cxBlendα=0.5, mutGaussianσ=0.2) are as amiloride/propranolol cases (Table S1). All solutions restore the central high-Vmem domain despite fixed 2×k₃ left-half perturbation.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LibreOffice/25.2.3.2$Linux_X86_64 LibreOffice_project/520$Build-2</Application>
  <AppVersion>15.0000</AppVersion>
  <Pages>1</Pages>
  <Words>63</Words>
  <Characters>368</Characters>
  <CharactersWithSpaces>404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2026-02-17T10:47:34Z</dcterms:created>
  <dc:creator>Cameron</dc:creator>
  <dc:description/>
  <dc:language>en-GB</dc:language>
  <cp:lastModifiedBy>Cameron</cp:lastModifiedBy>
  <dcterms:modified xsi:type="dcterms:W3CDTF">2026-02-27T18:13:41Z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