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b w:val="false"/>
          <w:bCs w:val="false"/>
          <w:i/>
          <w:i/>
          <w:iCs/>
          <w:lang w:val="en-US" w:eastAsia="zh-CN" w:bidi="hi-IN"/>
        </w:rPr>
      </w:pP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 xml:space="preserve">Figure 1. Single-cell voltage dynamics under a classic channel blocker. A reduced ordinary differential equation (ODE) model represents the normalized membrane potential (Vnorm) as a lumped variable combining leak and homeostatic channel currents. Voltages shown as Vnorm; equivalent to -40 mV baseline with ±10-20 mV perturbations. Decreasing the effective homeostatic rate constant k3 mimics a channel-blocker–like reduction in ionic transport, slowing the return to baseline and reshaping single-cell dynamics. 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>T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>h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 xml:space="preserve">e 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>s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 xml:space="preserve">ingle-cell voltage response to amiloride-like Na⁺ blockade (↓k₃), 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>i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 xml:space="preserve">s 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>shown as the first step of the computational pipeline leading to tissue-level spatial patterns (Fig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>u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>r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>e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  <w:lang w:val="en-US" w:eastAsia="zh-CN" w:bidi="hi-IN"/>
        </w:rPr>
        <w:t xml:space="preserve"> 3)</w:t>
      </w:r>
      <w:r>
        <w:rPr>
          <w:rStyle w:val="Strong"/>
          <w:rFonts w:ascii="Times New Roman" w:hAnsi="Times New Roman"/>
          <w:b w:val="false"/>
          <w:bCs w:val="false"/>
          <w:i/>
          <w:iCs/>
          <w:color w:val="000000"/>
          <w:sz w:val="24"/>
          <w:szCs w:val="24"/>
          <w:shd w:fill="auto" w:val="clear"/>
          <w:lang w:val="en-US" w:eastAsia="zh-CN" w:bidi="hi-IN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LibreOffice_project/520$Build-2</Application>
  <AppVersion>15.0000</AppVersion>
  <Pages>1</Pages>
  <Words>98</Words>
  <Characters>600</Characters>
  <CharactersWithSpaces>694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2026-01-05T12:24:29Z</dcterms:created>
  <dc:creator>Cameron</dc:creator>
  <dc:description/>
  <dc:language>en-GB</dc:language>
  <cp:lastModifiedBy>Cameron</cp:lastModifiedBy>
  <dcterms:modified xsi:type="dcterms:W3CDTF">2026-02-16T17:33:30Z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