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rFonts w:ascii="Times New Roman" w:hAnsi="Times New Roman"/>
          <w:b/>
          <w:bCs/>
          <w:lang w:val="en-US" w:eastAsia="zh-CN" w:bidi="hi-IN"/>
        </w:rPr>
      </w:pPr>
      <w:r>
        <w:rPr>
          <w:rStyle w:val="Emphasis"/>
          <w:rFonts w:ascii="Times New Roman" w:hAnsi="Times New Roman"/>
          <w:b w:val="false"/>
          <w:bCs w:val="false"/>
          <w:lang w:val="en-US" w:eastAsia="zh-CN" w:bidi="hi-IN"/>
        </w:rPr>
        <w:t>Figure 3. Tissue-level bioelectric patterns under localized simulated Na+-blockage (amiloride-like) perturbation. A gap-junction–coupled tissue lattice of 100 cells (10 × 10 grid) models how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/>
          <w:bCs/>
          <w:lang w:val="en-US" w:eastAsia="zh-CN" w:bidi="hi-IN"/>
        </w:rPr>
      </w:pPr>
      <w:r>
        <w:rPr>
          <w:rStyle w:val="Emphasis"/>
          <w:rFonts w:ascii="Times New Roman" w:hAnsi="Times New Roman"/>
          <w:b w:val="false"/>
          <w:bCs w:val="false"/>
          <w:lang w:val="en-US" w:eastAsia="zh-CN" w:bidi="hi-IN"/>
        </w:rPr>
        <w:t xml:space="preserve">single-cell pharmacological effects propagate across coupled networks. Voltages represent the normalize membrane potential (Vnorm [-40 mV baseline ±10-20 mV perturbations]) of each cell. Panel A illustrates the untreated tissue, which equilibrates to a uniform, coherent bioelectric pattern. Panel B shows the same lattice when half of the cells (left region) experience a reduced homeostatic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 xml:space="preserve">rate constant (k3), mimicking prior amiloride-like (sodium) channel inhibition. The resulting stable voltage contrast between treated and untreated regions demonstrates the emergence of spatial bioelectric domains from localized molecular perturbations. Colors represent Vnorm (-40 mV baseline)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>and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 xml:space="preserve"> domains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 xml:space="preserve">are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 xml:space="preserve">analogous to hyperpolarized (-) vs depolarized (+) regions guiding frog facial patterning; spatial pattern shape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 xml:space="preserve">is </w:t>
      </w:r>
      <w:r>
        <w:rPr>
          <w:rStyle w:val="Emphasis"/>
          <w:rFonts w:ascii="Times New Roman" w:hAnsi="Times New Roman"/>
          <w:b w:val="false"/>
          <w:bCs w:val="false"/>
          <w:color w:val="auto"/>
          <w:lang w:val="en-US" w:eastAsia="zh-CN" w:bidi="hi-IN"/>
        </w:rPr>
        <w:t>preserved under scaling.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1</Pages>
  <Words>137</Words>
  <Characters>900</Characters>
  <CharactersWithSpaces>1034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2026-01-05T12:25:55Z</dcterms:created>
  <dc:creator>Cameron</dc:creator>
  <dc:description/>
  <dc:language>en-GB</dc:language>
  <cp:lastModifiedBy>Cameron</cp:lastModifiedBy>
  <dcterms:modified xsi:type="dcterms:W3CDTF">2026-02-16T17:39:10Z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