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 xml:space="preserve">Figure S4: Gap junction dependence validation. (A) Amiloride (↓k₃ left half) + intact gap junctions (D=0.1) generates stable Vmem domain boundary. (B) Amiloride + gap junction blockade (D=0, octanol-like) yields uniform depolarization with no spatial pattern. 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62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GB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GB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</TotalTime>
  <Application>LibreOffice/25.2.3.2$Linux_X86_64 LibreOffice_project/520$Build-2</Application>
  <AppVersion>15.0000</AppVersion>
  <Pages>1</Pages>
  <Words>37</Words>
  <Characters>224</Characters>
  <CharactersWithSpaces>260</CharactersWithSpaces>
  <Paragraphs>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2026-02-16T16:36:34Z</dcterms:created>
  <dc:creator>Cameron</dc:creator>
  <dc:description/>
  <dc:language>en-GB</dc:language>
  <cp:lastModifiedBy>Cameron</cp:lastModifiedBy>
  <dcterms:modified xsi:type="dcterms:W3CDTF">2026-02-16T16:56:56Z</dcterms:modified>
  <cp:revision>1</cp:revision>
  <dc:subject/>
  <dc:title/>
</cp:coreProperties>
</file>