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Table S2.</w:t>
      </w:r>
      <w:r>
        <w:rPr/>
        <w:t xml:space="preserve"> </w:t>
      </w:r>
      <w:r>
        <w:rPr/>
        <w:t>The p</w:t>
      </w:r>
      <w:r>
        <w:rPr/>
        <w:t xml:space="preserve">hysiological IC50 ranges anchoring </w:t>
      </w:r>
      <w:r>
        <w:rPr/>
        <w:t xml:space="preserve">the </w:t>
      </w:r>
      <w:r>
        <w:rPr/>
        <w:t xml:space="preserve">model drug concentrations.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1</Pages>
  <Words>11</Words>
  <Characters>70</Characters>
  <CharactersWithSpaces>81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2026-02-16T17:05:00Z</dcterms:created>
  <dc:creator>Cameron</dc:creator>
  <dc:description/>
  <dc:language>en-GB</dc:language>
  <cp:lastModifiedBy>Cameron</cp:lastModifiedBy>
  <dcterms:modified xsi:type="dcterms:W3CDTF">2026-02-16T17:21:26Z</dcterms:modified>
  <cp:revision>1</cp:revision>
  <dc:subject/>
  <dc:title/>
</cp:coreProperties>
</file>