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>
          <w:b/>
          <w:bCs/>
        </w:rPr>
        <w:t>Table S</w:t>
      </w:r>
      <w:r>
        <w:rPr>
          <w:b/>
          <w:bCs/>
        </w:rPr>
        <w:t>3</w:t>
      </w:r>
      <w:r>
        <w:rPr>
          <w:b/>
          <w:bCs/>
        </w:rPr>
        <w:t xml:space="preserve">. </w:t>
      </w:r>
      <w:r>
        <w:rPr/>
        <w:t>Top DEAP solutions restoring target Vmem pattern under ivermectin perturbation.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23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1"/>
        <w:gridCol w:w="797"/>
        <w:gridCol w:w="741"/>
        <w:gridCol w:w="731"/>
        <w:gridCol w:w="1417"/>
        <w:gridCol w:w="1814"/>
      </w:tblGrid>
      <w:tr>
        <w:trPr/>
        <w:tc>
          <w:tcPr>
            <w:tcW w:w="7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Run</w:t>
            </w:r>
          </w:p>
        </w:tc>
        <w:tc>
          <w:tcPr>
            <w:tcW w:w="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k</w:t>
            </w:r>
            <w:r>
              <w:rPr>
                <w:b/>
                <w:bCs/>
                <w:vertAlign w:val="subscript"/>
              </w:rPr>
              <w:t>1</w:t>
            </w:r>
          </w:p>
        </w:tc>
        <w:tc>
          <w:tcPr>
            <w:tcW w:w="7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k</w:t>
            </w:r>
            <w:r>
              <w:rPr>
                <w:b/>
                <w:bCs/>
                <w:vertAlign w:val="subscript"/>
              </w:rPr>
              <w:t>2</w:t>
            </w:r>
          </w:p>
        </w:tc>
        <w:tc>
          <w:tcPr>
            <w:tcW w:w="7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k</w:t>
            </w:r>
            <w:r>
              <w:rPr>
                <w:b/>
                <w:bCs/>
                <w:vertAlign w:val="subscript"/>
              </w:rPr>
              <w:t>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Final MSE</w:t>
            </w:r>
          </w:p>
        </w:tc>
        <w:tc>
          <w:tcPr>
            <w:tcW w:w="18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%</w:t>
            </w:r>
            <w:r>
              <w:rPr>
                <w:b/>
                <w:bCs/>
              </w:rPr>
              <w:t>Target Match</w:t>
            </w:r>
          </w:p>
        </w:tc>
      </w:tr>
      <w:tr>
        <w:trPr/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1.42</w:t>
            </w:r>
          </w:p>
        </w:tc>
        <w:tc>
          <w:tcPr>
            <w:tcW w:w="7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0.87</w:t>
            </w:r>
          </w:p>
        </w:tc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1.63</w:t>
            </w:r>
          </w:p>
        </w:tc>
        <w:tc>
          <w:tcPr>
            <w:tcW w:w="14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0.009</w:t>
            </w:r>
          </w:p>
        </w:tc>
        <w:tc>
          <w:tcPr>
            <w:tcW w:w="18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95.2</w:t>
            </w:r>
          </w:p>
        </w:tc>
      </w:tr>
      <w:tr>
        <w:trPr/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1.28</w:t>
            </w:r>
          </w:p>
        </w:tc>
        <w:tc>
          <w:tcPr>
            <w:tcW w:w="7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1.05</w:t>
            </w:r>
          </w:p>
        </w:tc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1.71</w:t>
            </w:r>
          </w:p>
        </w:tc>
        <w:tc>
          <w:tcPr>
            <w:tcW w:w="14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0.008</w:t>
            </w:r>
          </w:p>
        </w:tc>
        <w:tc>
          <w:tcPr>
            <w:tcW w:w="18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96.1</w:t>
            </w:r>
          </w:p>
        </w:tc>
      </w:tr>
      <w:tr>
        <w:trPr/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1.55</w:t>
            </w:r>
          </w:p>
        </w:tc>
        <w:tc>
          <w:tcPr>
            <w:tcW w:w="7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0.92</w:t>
            </w:r>
          </w:p>
        </w:tc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1.48</w:t>
            </w:r>
          </w:p>
        </w:tc>
        <w:tc>
          <w:tcPr>
            <w:tcW w:w="14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0.010</w:t>
            </w:r>
          </w:p>
        </w:tc>
        <w:tc>
          <w:tcPr>
            <w:tcW w:w="18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94.8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Notes: Parameters </w:t>
      </w:r>
      <w:r>
        <w:rPr/>
        <w:t xml:space="preserve">are </w:t>
      </w:r>
      <w:r>
        <w:rPr/>
        <w:t xml:space="preserve">optimized within physiological bounds [0.5,2.0]. Identical DEAP settings (population=100, tournsize=3, cxBlendα=0.5, mutGaussianσ=0.2) </w:t>
      </w:r>
      <w:r>
        <w:rPr/>
        <w:t xml:space="preserve">are </w:t>
      </w:r>
      <w:r>
        <w:rPr/>
        <w:t xml:space="preserve">as amiloride/propranolol cases (Table S1). All solutions restore </w:t>
      </w:r>
      <w:r>
        <w:rPr/>
        <w:t xml:space="preserve">the </w:t>
      </w:r>
      <w:r>
        <w:rPr/>
        <w:t>central high-Vmem domain despite fixed 2×k₃ left-half perturbation.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LibreOffice/25.2.3.2$Linux_X86_64 LibreOffice_project/520$Build-2</Application>
  <AppVersion>15.0000</AppVersion>
  <Pages>1</Pages>
  <Words>72</Words>
  <Characters>438</Characters>
  <CharactersWithSpaces>483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2026-02-17T10:47:34Z</dcterms:created>
  <dc:creator>Cameron</dc:creator>
  <dc:description/>
  <dc:language>en-GB</dc:language>
  <cp:lastModifiedBy>Cameron</cp:lastModifiedBy>
  <dcterms:modified xsi:type="dcterms:W3CDTF">2026-02-17T10:52:19Z</dcterms:modified>
  <cp:revision>1</cp:revision>
  <dc:subject/>
  <dc:title/>
</cp:coreProperties>
</file>