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lang w:val="en-US"/>
        </w:rPr>
      </w:pPr>
      <w:r>
        <w:rPr>
          <w:b/>
          <w:bCs/>
          <w:lang w:val="en-US"/>
        </w:rPr>
        <w:t>Updated Abstract</w:t>
      </w:r>
    </w:p>
    <w:p>
      <w:pPr>
        <w:pStyle w:val="BodyText"/>
        <w:bidi w:val="0"/>
        <w:spacing w:lineRule="auto" w:line="276" w:before="0" w:after="140"/>
        <w:jc w:val="start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Bioelectric signaling regulates development, regeneration, and cancer suppression. This computational study introduces a minimal control-logic framework bridging ion channel pharmacology to multicell bioelectric patterning in regeneration (e.g., Xenopus limbs, planarian polarity).</w:t>
      </w:r>
    </w:p>
    <w:p>
      <w:pPr>
        <w:pStyle w:val="BodyText"/>
        <w:widowControl/>
        <w:suppressAutoHyphens w:val="true"/>
        <w:bidi w:val="0"/>
        <w:jc w:val="start"/>
        <w:rPr/>
      </w:pPr>
      <w:r>
        <w:rPr>
          <w:rFonts w:ascii="Times New Roman" w:hAnsi="Times New Roman"/>
          <w:lang w:val="en-US"/>
        </w:rPr>
        <w:t>Using dimensionless ordinary differential equations (ODE) anchored to pharmacological timescales (e.g., propranolol PK, hours), we modeled three ion channel drugs (amiloride, propranolol, ivermectin) in single cells, embedded them in gap-junction-coupled 10x10 tissue lattices, and applied DEAP evolutionary optimization to recover target Vmem p</w:t>
      </w:r>
      <w:r>
        <w:rPr>
          <w:rFonts w:eastAsia="Noto Serif CJK SC" w:cs="Lohit Devanagari" w:ascii="Times New Roman" w:hAnsi="Times New Roman"/>
          <w:color w:val="auto"/>
          <w:kern w:val="2"/>
          <w:sz w:val="24"/>
          <w:szCs w:val="24"/>
          <w:lang w:val="en-US" w:eastAsia="zh-CN" w:bidi="hi-IN"/>
        </w:rPr>
        <w:t xml:space="preserve">atterns. </w:t>
      </w:r>
      <w:r>
        <w:rPr>
          <w:rStyle w:val="SourceText"/>
          <w:rFonts w:eastAsia="Noto Serif CJK SC" w:cs="Lohit Devanagari" w:ascii="Times New Roman" w:hAnsi="Times New Roman"/>
          <w:color w:val="auto"/>
          <w:kern w:val="2"/>
          <w:sz w:val="24"/>
          <w:szCs w:val="24"/>
          <w:lang w:val="en-US" w:eastAsia="zh-CN" w:bidi="hi-IN"/>
        </w:rPr>
        <w:t>Multiple (k₁, k₂, k₃) parameter sets yielded identical tissue-scale Vmem patterns, despite perturbations such as ivermectin-induced 2× k₃ Cl⁻ scaling.</w:t>
      </w:r>
      <w:r>
        <w:rPr>
          <w:rFonts w:eastAsia="Noto Serif CJK SC" w:cs="Lohit Devanagari" w:ascii="Times New Roman" w:hAnsi="Times New Roman"/>
          <w:color w:val="auto"/>
          <w:kern w:val="2"/>
          <w:sz w:val="24"/>
          <w:szCs w:val="24"/>
          <w:lang w:val="en-US" w:eastAsia="zh-CN" w:bidi="hi-IN"/>
        </w:rPr>
        <w:t xml:space="preserve"> This parameter robustness </w:t>
      </w:r>
      <w:r>
        <w:rPr>
          <w:rFonts w:eastAsia="Noto Serif CJK SC" w:cs="Lohit Devanagari" w:ascii="Times New Roman" w:hAnsi="Times New Roman"/>
          <w:color w:val="auto"/>
          <w:kern w:val="2"/>
          <w:sz w:val="24"/>
          <w:szCs w:val="24"/>
          <w:lang w:val="en-US" w:eastAsia="zh-CN" w:bidi="hi-IN"/>
        </w:rPr>
        <w:t>positions</w:t>
      </w:r>
      <w:r>
        <w:rPr>
          <w:rFonts w:eastAsia="Noto Serif CJK SC" w:cs="Lohit Devanagari" w:ascii="Times New Roman" w:hAnsi="Times New Roman"/>
          <w:color w:val="auto"/>
          <w:kern w:val="2"/>
          <w:sz w:val="24"/>
          <w:szCs w:val="24"/>
          <w:lang w:val="en-US" w:eastAsia="zh-CN" w:bidi="hi-IN"/>
        </w:rPr>
        <w:t xml:space="preserve"> tissues as active controllers mainta</w:t>
      </w:r>
      <w:r>
        <w:rPr>
          <w:rFonts w:ascii="Times New Roman" w:hAnsi="Times New Roman"/>
          <w:lang w:val="en-US"/>
        </w:rPr>
        <w:t>ining patterning goals amid variability.</w:t>
      </w:r>
    </w:p>
    <w:p>
      <w:pPr>
        <w:pStyle w:val="BodyText"/>
        <w:bidi w:val="0"/>
        <w:spacing w:lineRule="auto" w:line="276" w:before="0" w:after="140"/>
        <w:jc w:val="start"/>
        <w:rPr>
          <w:lang w:val="en-US"/>
        </w:rPr>
      </w:pPr>
      <w:r>
        <w:rPr>
          <w:rFonts w:ascii="Times New Roman" w:hAnsi="Times New Roman"/>
          <w:lang w:val="en-US"/>
        </w:rPr>
        <w:t>Simulated legacy drugs controlled ti</w:t>
      </w:r>
      <w:r>
        <w:rPr>
          <w:lang w:val="en-US"/>
        </w:rPr>
        <w:t xml:space="preserve">ssue-level bioelectric/voltage goal states and different microscopic configurations were able to reach a target voltage state following </w:t>
      </w:r>
      <w:r>
        <w:rPr>
          <w:i/>
          <w:iCs/>
          <w:lang w:val="en-US"/>
        </w:rPr>
        <w:t>in silico</w:t>
      </w:r>
      <w:r>
        <w:rPr>
          <w:lang w:val="en-US"/>
        </w:rPr>
        <w:t xml:space="preserve"> evolutionary optimization of a few parameters. New predictions include depolarizing Na⁺ blockade inducing ectopic posteriorization and hyperpolarizing Cl⁻ activation restoring anterior-posterior Vmem gradients in planarian regeneration. This is falsifiable with CC2-DMPE dyes. These simulations could reframe legacy ion-channel drugs as bioelectric goal-state controllers beyond single-target inhibition, providing an extensible quantitative systems pharmacology pipeline (GitHub: Cameron-99/bioelectric-qsp-model) for multi-physics models and bioelectricity research.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251</TotalTime>
  <Application>LibreOffice/25.2.3.2$Linux_X86_64 LibreOffice_project/520$Build-2</Application>
  <AppVersion>15.0000</AppVersion>
  <Pages>1</Pages>
  <Words>200</Words>
  <Characters>1475</Characters>
  <CharactersWithSpaces>1664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2026-02-16T12:06:05Z</dcterms:created>
  <dc:creator>Cameron</dc:creator>
  <dc:description/>
  <dc:language>en-GB</dc:language>
  <cp:lastModifiedBy>Cameron</cp:lastModifiedBy>
  <dcterms:modified xsi:type="dcterms:W3CDTF">2026-03-01T15:06:35Z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