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77113" w14:textId="77777777" w:rsidR="006E0FC3" w:rsidRDefault="00A87BE0" w:rsidP="006E0FC3">
      <w:pPr>
        <w:jc w:val="center"/>
        <w:rPr>
          <w:rFonts w:cs="Arial"/>
          <w:b/>
          <w:sz w:val="32"/>
          <w:szCs w:val="40"/>
        </w:rPr>
      </w:pPr>
      <w:bookmarkStart w:id="0" w:name="_Toc67755726"/>
      <w:r>
        <w:rPr>
          <w:rFonts w:cs="Arial"/>
          <w:b/>
          <w:sz w:val="32"/>
          <w:szCs w:val="40"/>
        </w:rPr>
        <w:t>SOC2</w:t>
      </w:r>
      <w:r w:rsidR="006E0FC3" w:rsidRPr="00CA527D">
        <w:rPr>
          <w:rFonts w:cs="Arial"/>
          <w:b/>
          <w:sz w:val="32"/>
          <w:szCs w:val="40"/>
        </w:rPr>
        <w:t xml:space="preserve"> </w:t>
      </w:r>
      <w:r w:rsidR="006C6941">
        <w:rPr>
          <w:rFonts w:cs="Arial"/>
          <w:b/>
          <w:sz w:val="32"/>
          <w:szCs w:val="40"/>
        </w:rPr>
        <w:t xml:space="preserve">Annual/Initial </w:t>
      </w:r>
      <w:r w:rsidR="000B1FD4" w:rsidRPr="00CA527D">
        <w:rPr>
          <w:rFonts w:cs="Arial"/>
          <w:b/>
          <w:sz w:val="32"/>
          <w:szCs w:val="40"/>
        </w:rPr>
        <w:t xml:space="preserve">Audit </w:t>
      </w:r>
      <w:r w:rsidR="006E0FC3" w:rsidRPr="00CA527D">
        <w:rPr>
          <w:rFonts w:cs="Arial"/>
          <w:b/>
          <w:sz w:val="32"/>
          <w:szCs w:val="40"/>
        </w:rPr>
        <w:t>Checklist</w:t>
      </w:r>
      <w:r w:rsidR="00AC4F92">
        <w:rPr>
          <w:rFonts w:cs="Arial"/>
          <w:b/>
          <w:sz w:val="32"/>
          <w:szCs w:val="40"/>
        </w:rPr>
        <w:t xml:space="preserve"> V1.</w:t>
      </w:r>
      <w:r w:rsidR="00113834">
        <w:rPr>
          <w:rFonts w:cs="Arial"/>
          <w:b/>
          <w:sz w:val="32"/>
          <w:szCs w:val="40"/>
        </w:rPr>
        <w:t>0</w:t>
      </w:r>
      <w:r w:rsidR="00B940E1">
        <w:rPr>
          <w:rFonts w:cs="Arial"/>
          <w:b/>
          <w:sz w:val="32"/>
          <w:szCs w:val="40"/>
        </w:rPr>
        <w:t>2</w:t>
      </w:r>
    </w:p>
    <w:p w14:paraId="34F9BEFF" w14:textId="77777777" w:rsidR="00CA527D" w:rsidRPr="00CA527D" w:rsidRDefault="00CA527D" w:rsidP="006E0FC3">
      <w:pPr>
        <w:jc w:val="center"/>
        <w:rPr>
          <w:rFonts w:cs="Arial"/>
          <w:b/>
          <w:sz w:val="32"/>
          <w:szCs w:val="40"/>
        </w:rPr>
      </w:pPr>
    </w:p>
    <w:p w14:paraId="6C2105FD" w14:textId="77777777" w:rsidR="006E0FC3" w:rsidRPr="00CA527D" w:rsidRDefault="00964735" w:rsidP="00C474F9">
      <w:pPr>
        <w:rPr>
          <w:rFonts w:cs="Arial"/>
          <w:sz w:val="18"/>
        </w:rPr>
      </w:pPr>
      <w:r>
        <w:rPr>
          <w:rFonts w:cs="Arial"/>
          <w:sz w:val="18"/>
        </w:rPr>
        <w:pict w14:anchorId="1C784A30">
          <v:shape id="_x0000_i1026" type="#_x0000_t75" style="width:525.6pt;height:6.25pt" o:hrpct="0" o:hr="t">
            <v:imagedata r:id="rId8" o:title="BD10290_"/>
          </v:shape>
        </w:pic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460"/>
      </w:tblGrid>
      <w:tr w:rsidR="00820102" w:rsidRPr="00820102" w14:paraId="3560CF1E" w14:textId="77777777" w:rsidTr="00820102">
        <w:trPr>
          <w:trHeight w:hRule="exact" w:val="432"/>
        </w:trPr>
        <w:tc>
          <w:tcPr>
            <w:tcW w:w="2070" w:type="dxa"/>
            <w:vAlign w:val="center"/>
          </w:tcPr>
          <w:p w14:paraId="49EFB472" w14:textId="77777777" w:rsidR="00820102" w:rsidRPr="00820102" w:rsidRDefault="00C709A7" w:rsidP="00820102">
            <w:pPr>
              <w:rPr>
                <w:rFonts w:cs="Arial"/>
                <w:sz w:val="22"/>
                <w:szCs w:val="22"/>
              </w:rPr>
            </w:pPr>
            <w:r>
              <w:rPr>
                <w:rFonts w:cs="Arial"/>
                <w:b/>
                <w:sz w:val="22"/>
                <w:szCs w:val="22"/>
              </w:rPr>
              <w:t>System</w:t>
            </w:r>
            <w:r w:rsidR="00820102" w:rsidRPr="00820102">
              <w:rPr>
                <w:rFonts w:cs="Arial"/>
                <w:b/>
                <w:sz w:val="22"/>
                <w:szCs w:val="22"/>
              </w:rPr>
              <w:t xml:space="preserve"> Name:</w:t>
            </w:r>
            <w:r w:rsidR="00E315F2">
              <w:rPr>
                <w:rFonts w:cs="Arial"/>
                <w:b/>
                <w:sz w:val="22"/>
                <w:szCs w:val="22"/>
              </w:rPr>
              <w:t xml:space="preserve">  </w:t>
            </w:r>
          </w:p>
        </w:tc>
        <w:tc>
          <w:tcPr>
            <w:tcW w:w="8460" w:type="dxa"/>
            <w:vAlign w:val="center"/>
          </w:tcPr>
          <w:p w14:paraId="0BEA44DF" w14:textId="77777777" w:rsidR="00820102" w:rsidRPr="00820102" w:rsidRDefault="00820102" w:rsidP="00E315F2">
            <w:pPr>
              <w:rPr>
                <w:rFonts w:cs="Arial"/>
                <w:sz w:val="22"/>
                <w:szCs w:val="22"/>
              </w:rPr>
            </w:pPr>
          </w:p>
        </w:tc>
      </w:tr>
      <w:tr w:rsidR="00820102" w:rsidRPr="00820102" w14:paraId="4A1FE6EB" w14:textId="77777777" w:rsidTr="00820102">
        <w:trPr>
          <w:trHeight w:hRule="exact" w:val="432"/>
        </w:trPr>
        <w:tc>
          <w:tcPr>
            <w:tcW w:w="2070" w:type="dxa"/>
            <w:vAlign w:val="center"/>
          </w:tcPr>
          <w:p w14:paraId="5DF67CE6" w14:textId="77777777" w:rsidR="00820102" w:rsidRPr="00820102" w:rsidRDefault="00C709A7" w:rsidP="00820102">
            <w:pPr>
              <w:rPr>
                <w:rFonts w:cs="Arial"/>
                <w:sz w:val="22"/>
                <w:szCs w:val="22"/>
              </w:rPr>
            </w:pPr>
            <w:r>
              <w:rPr>
                <w:rFonts w:cs="Arial"/>
                <w:b/>
                <w:sz w:val="22"/>
                <w:szCs w:val="22"/>
              </w:rPr>
              <w:t>Business Owner</w:t>
            </w:r>
            <w:r w:rsidR="00820102" w:rsidRPr="00820102">
              <w:rPr>
                <w:rFonts w:cs="Arial"/>
                <w:b/>
                <w:sz w:val="22"/>
                <w:szCs w:val="22"/>
              </w:rPr>
              <w:t>:</w:t>
            </w:r>
          </w:p>
        </w:tc>
        <w:tc>
          <w:tcPr>
            <w:tcW w:w="8460" w:type="dxa"/>
            <w:vAlign w:val="center"/>
          </w:tcPr>
          <w:p w14:paraId="54227CF0" w14:textId="77777777" w:rsidR="00820102" w:rsidRPr="00820102" w:rsidRDefault="00820102" w:rsidP="00820102">
            <w:pPr>
              <w:rPr>
                <w:rFonts w:cs="Arial"/>
                <w:sz w:val="22"/>
                <w:szCs w:val="22"/>
              </w:rPr>
            </w:pPr>
          </w:p>
        </w:tc>
      </w:tr>
      <w:tr w:rsidR="00FA4D85" w:rsidRPr="00820102" w14:paraId="61985F80" w14:textId="77777777" w:rsidTr="00820102">
        <w:trPr>
          <w:trHeight w:hRule="exact" w:val="432"/>
        </w:trPr>
        <w:tc>
          <w:tcPr>
            <w:tcW w:w="2070" w:type="dxa"/>
            <w:vAlign w:val="center"/>
          </w:tcPr>
          <w:p w14:paraId="44EA9625" w14:textId="77777777" w:rsidR="00FA4D85" w:rsidRDefault="00FA4D85" w:rsidP="00FA4D85">
            <w:pPr>
              <w:rPr>
                <w:rFonts w:cs="Arial"/>
                <w:b/>
                <w:sz w:val="22"/>
                <w:szCs w:val="22"/>
              </w:rPr>
            </w:pPr>
            <w:r>
              <w:rPr>
                <w:rFonts w:cs="Arial"/>
                <w:b/>
                <w:sz w:val="22"/>
                <w:szCs w:val="22"/>
              </w:rPr>
              <w:t>Tech. Reviewer:</w:t>
            </w:r>
          </w:p>
        </w:tc>
        <w:tc>
          <w:tcPr>
            <w:tcW w:w="8460" w:type="dxa"/>
            <w:vAlign w:val="center"/>
          </w:tcPr>
          <w:p w14:paraId="768EDBEF" w14:textId="77777777" w:rsidR="00FA4D85" w:rsidRPr="00820102" w:rsidRDefault="00FA4D85" w:rsidP="00820102">
            <w:pPr>
              <w:rPr>
                <w:rFonts w:cs="Arial"/>
                <w:sz w:val="22"/>
                <w:szCs w:val="22"/>
              </w:rPr>
            </w:pPr>
          </w:p>
        </w:tc>
      </w:tr>
      <w:tr w:rsidR="00820102" w:rsidRPr="00820102" w14:paraId="2BDB6252" w14:textId="77777777" w:rsidTr="00820102">
        <w:trPr>
          <w:trHeight w:hRule="exact" w:val="432"/>
        </w:trPr>
        <w:tc>
          <w:tcPr>
            <w:tcW w:w="2070" w:type="dxa"/>
            <w:vAlign w:val="center"/>
          </w:tcPr>
          <w:p w14:paraId="2D949F1F" w14:textId="77777777" w:rsidR="00820102" w:rsidRPr="00820102" w:rsidRDefault="00820102" w:rsidP="00820102">
            <w:pPr>
              <w:rPr>
                <w:rFonts w:cs="Arial"/>
              </w:rPr>
            </w:pPr>
            <w:r w:rsidRPr="00820102">
              <w:rPr>
                <w:rFonts w:cs="Arial"/>
                <w:b/>
                <w:sz w:val="22"/>
                <w:szCs w:val="22"/>
              </w:rPr>
              <w:t>Review Date:</w:t>
            </w:r>
          </w:p>
        </w:tc>
        <w:tc>
          <w:tcPr>
            <w:tcW w:w="8460" w:type="dxa"/>
            <w:vAlign w:val="center"/>
          </w:tcPr>
          <w:p w14:paraId="39A93823" w14:textId="77777777" w:rsidR="00820102" w:rsidRPr="00820102" w:rsidRDefault="00820102" w:rsidP="00820102">
            <w:pPr>
              <w:rPr>
                <w:rFonts w:cs="Arial"/>
              </w:rPr>
            </w:pPr>
          </w:p>
        </w:tc>
      </w:tr>
    </w:tbl>
    <w:p w14:paraId="1A57A1D5" w14:textId="77777777" w:rsidR="006E0FC3" w:rsidRDefault="00964735" w:rsidP="00C474F9">
      <w:pPr>
        <w:rPr>
          <w:rFonts w:cs="Arial"/>
          <w:sz w:val="18"/>
        </w:rPr>
      </w:pPr>
      <w:r>
        <w:rPr>
          <w:rFonts w:cs="Arial"/>
          <w:sz w:val="18"/>
        </w:rPr>
        <w:pict w14:anchorId="4DC2C45D">
          <v:shape id="_x0000_i1027" type="#_x0000_t75" style="width:525.6pt;height:6.25pt" o:hrpct="0" o:hr="t">
            <v:imagedata r:id="rId8" o:title="BD10290_"/>
          </v:shape>
        </w:pict>
      </w:r>
    </w:p>
    <w:p w14:paraId="2EE82B24" w14:textId="77777777" w:rsidR="00CA527D" w:rsidRPr="00CA527D" w:rsidRDefault="00CA527D" w:rsidP="00C474F9">
      <w:pPr>
        <w:rPr>
          <w:rFonts w:cs="Arial"/>
          <w:sz w:val="18"/>
        </w:rPr>
      </w:pPr>
    </w:p>
    <w:p w14:paraId="1BCBD7DA" w14:textId="77777777" w:rsidR="00973968" w:rsidRPr="00CA527D" w:rsidRDefault="00973968" w:rsidP="00C474F9">
      <w:pPr>
        <w:rPr>
          <w:rFonts w:cs="Arial"/>
          <w:sz w:val="18"/>
        </w:rPr>
      </w:pPr>
    </w:p>
    <w:tbl>
      <w:tblPr>
        <w:tblStyle w:val="TableGrid"/>
        <w:tblW w:w="9180" w:type="dxa"/>
        <w:tblInd w:w="115" w:type="dxa"/>
        <w:tblLayout w:type="fixed"/>
        <w:tblLook w:val="01E0" w:firstRow="1" w:lastRow="1" w:firstColumn="1" w:lastColumn="1" w:noHBand="0" w:noVBand="0"/>
      </w:tblPr>
      <w:tblGrid>
        <w:gridCol w:w="3960"/>
        <w:gridCol w:w="720"/>
        <w:gridCol w:w="720"/>
        <w:gridCol w:w="3780"/>
      </w:tblGrid>
      <w:tr w:rsidR="00C709A7" w:rsidRPr="006E0FC3" w14:paraId="7A09E3BD" w14:textId="77777777" w:rsidTr="00C709A7">
        <w:trPr>
          <w:trHeight w:val="288"/>
        </w:trPr>
        <w:tc>
          <w:tcPr>
            <w:tcW w:w="3960" w:type="dxa"/>
            <w:vMerge w:val="restart"/>
            <w:tcMar>
              <w:top w:w="43" w:type="dxa"/>
              <w:left w:w="115" w:type="dxa"/>
              <w:bottom w:w="43" w:type="dxa"/>
              <w:right w:w="115" w:type="dxa"/>
            </w:tcMar>
            <w:vAlign w:val="center"/>
          </w:tcPr>
          <w:p w14:paraId="76247C84" w14:textId="77777777" w:rsidR="00C709A7" w:rsidRPr="00FA4D85" w:rsidRDefault="00FA4D85" w:rsidP="003A6FA6">
            <w:pPr>
              <w:rPr>
                <w:rFonts w:cs="Arial"/>
                <w:b/>
                <w:u w:val="single"/>
              </w:rPr>
            </w:pPr>
            <w:r w:rsidRPr="00FA4D85">
              <w:rPr>
                <w:rFonts w:cs="Arial"/>
                <w:b/>
                <w:u w:val="single"/>
              </w:rPr>
              <w:t>Annual Review Items</w:t>
            </w:r>
          </w:p>
        </w:tc>
        <w:tc>
          <w:tcPr>
            <w:tcW w:w="1440" w:type="dxa"/>
            <w:gridSpan w:val="2"/>
            <w:vAlign w:val="center"/>
          </w:tcPr>
          <w:p w14:paraId="70C9C83D" w14:textId="77777777" w:rsidR="00C709A7" w:rsidRPr="006E0FC3" w:rsidRDefault="00C709A7" w:rsidP="000B1FD4">
            <w:pPr>
              <w:jc w:val="center"/>
              <w:rPr>
                <w:rFonts w:cs="Arial"/>
              </w:rPr>
            </w:pPr>
            <w:r>
              <w:rPr>
                <w:rFonts w:cs="Arial"/>
                <w:b/>
              </w:rPr>
              <w:t>Reviewed?</w:t>
            </w:r>
          </w:p>
        </w:tc>
        <w:tc>
          <w:tcPr>
            <w:tcW w:w="3780" w:type="dxa"/>
            <w:vMerge w:val="restart"/>
            <w:tcMar>
              <w:top w:w="43" w:type="dxa"/>
              <w:left w:w="115" w:type="dxa"/>
              <w:bottom w:w="43" w:type="dxa"/>
              <w:right w:w="115" w:type="dxa"/>
            </w:tcMar>
            <w:vAlign w:val="center"/>
          </w:tcPr>
          <w:p w14:paraId="0813C8C5" w14:textId="77777777" w:rsidR="00C709A7" w:rsidRPr="006E0FC3" w:rsidRDefault="00C709A7" w:rsidP="000B1FD4">
            <w:pPr>
              <w:jc w:val="center"/>
              <w:rPr>
                <w:rFonts w:cs="Arial"/>
              </w:rPr>
            </w:pPr>
            <w:r w:rsidRPr="006E0FC3">
              <w:rPr>
                <w:rFonts w:cs="Arial"/>
                <w:b/>
              </w:rPr>
              <w:t>Comments</w:t>
            </w:r>
            <w:r w:rsidR="0069728D">
              <w:rPr>
                <w:rFonts w:cs="Arial"/>
                <w:b/>
              </w:rPr>
              <w:t xml:space="preserve"> / Exceptions</w:t>
            </w:r>
          </w:p>
        </w:tc>
      </w:tr>
      <w:tr w:rsidR="00C709A7" w:rsidRPr="00D84D22" w14:paraId="0F39693B" w14:textId="77777777" w:rsidTr="00C709A7">
        <w:tc>
          <w:tcPr>
            <w:tcW w:w="3960" w:type="dxa"/>
            <w:vMerge/>
            <w:tcMar>
              <w:top w:w="43" w:type="dxa"/>
              <w:left w:w="115" w:type="dxa"/>
              <w:bottom w:w="43" w:type="dxa"/>
              <w:right w:w="115" w:type="dxa"/>
            </w:tcMar>
          </w:tcPr>
          <w:p w14:paraId="6872B003" w14:textId="77777777" w:rsidR="00C709A7" w:rsidRPr="00D84D22" w:rsidRDefault="00C709A7" w:rsidP="00690473">
            <w:pPr>
              <w:rPr>
                <w:rFonts w:cs="Arial"/>
              </w:rPr>
            </w:pPr>
          </w:p>
        </w:tc>
        <w:tc>
          <w:tcPr>
            <w:tcW w:w="720" w:type="dxa"/>
            <w:vAlign w:val="center"/>
          </w:tcPr>
          <w:p w14:paraId="12D741BA" w14:textId="77777777" w:rsidR="00C709A7" w:rsidRPr="006E0FC3" w:rsidRDefault="00C709A7" w:rsidP="000E70BE">
            <w:pPr>
              <w:rPr>
                <w:rFonts w:cs="Arial"/>
              </w:rPr>
            </w:pPr>
            <w:r w:rsidRPr="006E0FC3">
              <w:rPr>
                <w:rFonts w:cs="Arial"/>
                <w:b/>
              </w:rPr>
              <w:t>Yes</w:t>
            </w:r>
          </w:p>
        </w:tc>
        <w:tc>
          <w:tcPr>
            <w:tcW w:w="720" w:type="dxa"/>
            <w:tcMar>
              <w:top w:w="43" w:type="dxa"/>
              <w:left w:w="115" w:type="dxa"/>
              <w:bottom w:w="43" w:type="dxa"/>
              <w:right w:w="115" w:type="dxa"/>
            </w:tcMar>
          </w:tcPr>
          <w:p w14:paraId="67013FDB" w14:textId="77777777" w:rsidR="00C709A7" w:rsidRPr="00D84D22" w:rsidRDefault="00C709A7" w:rsidP="00690473">
            <w:pPr>
              <w:jc w:val="center"/>
              <w:rPr>
                <w:rFonts w:cs="Arial"/>
              </w:rPr>
            </w:pPr>
            <w:r w:rsidRPr="006E0FC3">
              <w:rPr>
                <w:rFonts w:cs="Arial"/>
                <w:b/>
              </w:rPr>
              <w:t>No</w:t>
            </w:r>
          </w:p>
        </w:tc>
        <w:tc>
          <w:tcPr>
            <w:tcW w:w="3780" w:type="dxa"/>
            <w:vMerge/>
            <w:tcMar>
              <w:top w:w="43" w:type="dxa"/>
              <w:left w:w="115" w:type="dxa"/>
              <w:bottom w:w="43" w:type="dxa"/>
              <w:right w:w="115" w:type="dxa"/>
            </w:tcMar>
          </w:tcPr>
          <w:p w14:paraId="35FB92BF" w14:textId="77777777" w:rsidR="00C709A7" w:rsidRPr="00C53437" w:rsidRDefault="00C709A7">
            <w:pPr>
              <w:rPr>
                <w:rFonts w:cs="Arial"/>
                <w:b/>
                <w:bCs/>
              </w:rPr>
            </w:pPr>
          </w:p>
        </w:tc>
      </w:tr>
      <w:tr w:rsidR="00031EF3" w:rsidRPr="00D84D22" w14:paraId="7AC85929" w14:textId="77777777" w:rsidTr="00C709A7">
        <w:tc>
          <w:tcPr>
            <w:tcW w:w="3960" w:type="dxa"/>
            <w:tcMar>
              <w:top w:w="43" w:type="dxa"/>
              <w:left w:w="115" w:type="dxa"/>
              <w:bottom w:w="43" w:type="dxa"/>
              <w:right w:w="115" w:type="dxa"/>
            </w:tcMar>
          </w:tcPr>
          <w:p w14:paraId="2886A69F" w14:textId="77777777" w:rsidR="00031EF3" w:rsidRDefault="00031EF3" w:rsidP="00690473">
            <w:pPr>
              <w:rPr>
                <w:rFonts w:cs="Arial"/>
              </w:rPr>
            </w:pPr>
            <w:r>
              <w:rPr>
                <w:rFonts w:cs="Arial"/>
              </w:rPr>
              <w:t>Date on cover page of report</w:t>
            </w:r>
          </w:p>
        </w:tc>
        <w:tc>
          <w:tcPr>
            <w:tcW w:w="720" w:type="dxa"/>
          </w:tcPr>
          <w:sdt>
            <w:sdtPr>
              <w:rPr>
                <w:rFonts w:cs="Arial"/>
              </w:rPr>
              <w:id w:val="-496493870"/>
              <w14:checkbox>
                <w14:checked w14:val="0"/>
                <w14:checkedState w14:val="2612" w14:font="MS Gothic"/>
                <w14:uncheckedState w14:val="2610" w14:font="MS Gothic"/>
              </w14:checkbox>
            </w:sdtPr>
            <w:sdtContent>
              <w:p w14:paraId="50B2DF5A"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482661302"/>
              <w14:checkbox>
                <w14:checked w14:val="0"/>
                <w14:checkedState w14:val="2612" w14:font="MS Gothic"/>
                <w14:uncheckedState w14:val="2610" w14:font="MS Gothic"/>
              </w14:checkbox>
            </w:sdtPr>
            <w:sdtContent>
              <w:p w14:paraId="792F655F"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2A50DA02" w14:textId="77777777" w:rsidR="00031EF3" w:rsidRDefault="00031EF3">
            <w:pPr>
              <w:rPr>
                <w:rFonts w:cs="Arial"/>
                <w:bCs/>
              </w:rPr>
            </w:pPr>
          </w:p>
        </w:tc>
      </w:tr>
      <w:tr w:rsidR="00031EF3" w:rsidRPr="00D84D22" w14:paraId="657FA7CB" w14:textId="77777777" w:rsidTr="00C709A7">
        <w:tc>
          <w:tcPr>
            <w:tcW w:w="3960" w:type="dxa"/>
            <w:tcMar>
              <w:top w:w="43" w:type="dxa"/>
              <w:left w:w="115" w:type="dxa"/>
              <w:bottom w:w="43" w:type="dxa"/>
              <w:right w:w="115" w:type="dxa"/>
            </w:tcMar>
          </w:tcPr>
          <w:p w14:paraId="7311834F" w14:textId="77777777" w:rsidR="00031EF3" w:rsidRDefault="00031EF3" w:rsidP="00690473">
            <w:pPr>
              <w:rPr>
                <w:rFonts w:cs="Arial"/>
              </w:rPr>
            </w:pPr>
            <w:r>
              <w:rPr>
                <w:rFonts w:cs="Arial"/>
              </w:rPr>
              <w:t>Look for AICPA certification emblem – usually located on cover page</w:t>
            </w:r>
          </w:p>
        </w:tc>
        <w:tc>
          <w:tcPr>
            <w:tcW w:w="720" w:type="dxa"/>
          </w:tcPr>
          <w:sdt>
            <w:sdtPr>
              <w:rPr>
                <w:rFonts w:cs="Arial"/>
              </w:rPr>
              <w:id w:val="-183830021"/>
              <w14:checkbox>
                <w14:checked w14:val="0"/>
                <w14:checkedState w14:val="2612" w14:font="MS Gothic"/>
                <w14:uncheckedState w14:val="2610" w14:font="MS Gothic"/>
              </w14:checkbox>
            </w:sdtPr>
            <w:sdtContent>
              <w:p w14:paraId="01E77300"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912041647"/>
              <w14:checkbox>
                <w14:checked w14:val="0"/>
                <w14:checkedState w14:val="2612" w14:font="MS Gothic"/>
                <w14:uncheckedState w14:val="2610" w14:font="MS Gothic"/>
              </w14:checkbox>
            </w:sdtPr>
            <w:sdtContent>
              <w:p w14:paraId="27337FDF"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DBD62AE" w14:textId="77777777" w:rsidR="00031EF3" w:rsidRDefault="00031EF3" w:rsidP="008A64DD">
            <w:pPr>
              <w:rPr>
                <w:rFonts w:cs="Arial"/>
                <w:bCs/>
              </w:rPr>
            </w:pPr>
          </w:p>
        </w:tc>
      </w:tr>
      <w:tr w:rsidR="00031EF3" w:rsidRPr="00D84D22" w14:paraId="068F71D0" w14:textId="77777777" w:rsidTr="00C709A7">
        <w:tc>
          <w:tcPr>
            <w:tcW w:w="3960" w:type="dxa"/>
            <w:tcMar>
              <w:top w:w="43" w:type="dxa"/>
              <w:left w:w="115" w:type="dxa"/>
              <w:bottom w:w="43" w:type="dxa"/>
              <w:right w:w="115" w:type="dxa"/>
            </w:tcMar>
          </w:tcPr>
          <w:p w14:paraId="6D54F6E0" w14:textId="77777777" w:rsidR="00031EF3" w:rsidRDefault="00031EF3" w:rsidP="00CC3E9A">
            <w:pPr>
              <w:rPr>
                <w:rFonts w:cs="Arial"/>
              </w:rPr>
            </w:pPr>
            <w:r>
              <w:rPr>
                <w:rFonts w:cs="Arial"/>
              </w:rPr>
              <w:t>Date on Bridge letter</w:t>
            </w:r>
          </w:p>
        </w:tc>
        <w:tc>
          <w:tcPr>
            <w:tcW w:w="720" w:type="dxa"/>
          </w:tcPr>
          <w:sdt>
            <w:sdtPr>
              <w:rPr>
                <w:rFonts w:cs="Arial"/>
              </w:rPr>
              <w:id w:val="-1548062487"/>
              <w14:checkbox>
                <w14:checked w14:val="0"/>
                <w14:checkedState w14:val="2612" w14:font="MS Gothic"/>
                <w14:uncheckedState w14:val="2610" w14:font="MS Gothic"/>
              </w14:checkbox>
            </w:sdtPr>
            <w:sdtContent>
              <w:p w14:paraId="6F8FF14C"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28033680"/>
              <w14:checkbox>
                <w14:checked w14:val="0"/>
                <w14:checkedState w14:val="2612" w14:font="MS Gothic"/>
                <w14:uncheckedState w14:val="2610" w14:font="MS Gothic"/>
              </w14:checkbox>
            </w:sdtPr>
            <w:sdtContent>
              <w:p w14:paraId="0028EF9E"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3D7D2F61" w14:textId="77777777" w:rsidR="00031EF3" w:rsidRDefault="00031EF3">
            <w:pPr>
              <w:rPr>
                <w:rFonts w:cs="Arial"/>
                <w:bCs/>
              </w:rPr>
            </w:pPr>
          </w:p>
        </w:tc>
      </w:tr>
      <w:tr w:rsidR="00031EF3" w:rsidRPr="00D84D22" w14:paraId="7A5796B2" w14:textId="77777777" w:rsidTr="00C709A7">
        <w:tc>
          <w:tcPr>
            <w:tcW w:w="3960" w:type="dxa"/>
            <w:tcMar>
              <w:top w:w="43" w:type="dxa"/>
              <w:left w:w="115" w:type="dxa"/>
              <w:bottom w:w="43" w:type="dxa"/>
              <w:right w:w="115" w:type="dxa"/>
            </w:tcMar>
          </w:tcPr>
          <w:p w14:paraId="480DE4B2" w14:textId="77777777" w:rsidR="00031EF3" w:rsidRDefault="00031EF3" w:rsidP="00CC3E9A">
            <w:pPr>
              <w:rPr>
                <w:rFonts w:cs="Arial"/>
              </w:rPr>
            </w:pPr>
            <w:r>
              <w:rPr>
                <w:rFonts w:cs="Arial"/>
              </w:rPr>
              <w:t xml:space="preserve">Subcontractor </w:t>
            </w:r>
            <w:r w:rsidRPr="00C709A7">
              <w:rPr>
                <w:rFonts w:cs="Arial"/>
              </w:rPr>
              <w:t>list and tasks assigned</w:t>
            </w:r>
          </w:p>
        </w:tc>
        <w:tc>
          <w:tcPr>
            <w:tcW w:w="720" w:type="dxa"/>
          </w:tcPr>
          <w:sdt>
            <w:sdtPr>
              <w:rPr>
                <w:rFonts w:cs="Arial"/>
              </w:rPr>
              <w:id w:val="-1999101411"/>
              <w14:checkbox>
                <w14:checked w14:val="0"/>
                <w14:checkedState w14:val="2612" w14:font="MS Gothic"/>
                <w14:uncheckedState w14:val="2610" w14:font="MS Gothic"/>
              </w14:checkbox>
            </w:sdtPr>
            <w:sdtContent>
              <w:p w14:paraId="580B59FA"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30239324"/>
              <w14:checkbox>
                <w14:checked w14:val="0"/>
                <w14:checkedState w14:val="2612" w14:font="MS Gothic"/>
                <w14:uncheckedState w14:val="2610" w14:font="MS Gothic"/>
              </w14:checkbox>
            </w:sdtPr>
            <w:sdtContent>
              <w:p w14:paraId="4687B971"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5FE1F3EC" w14:textId="77777777" w:rsidR="00031EF3" w:rsidRDefault="00031EF3" w:rsidP="003416B9">
            <w:pPr>
              <w:rPr>
                <w:rFonts w:cs="Arial"/>
                <w:bCs/>
              </w:rPr>
            </w:pPr>
          </w:p>
        </w:tc>
      </w:tr>
      <w:tr w:rsidR="00031EF3" w:rsidRPr="00D84D22" w14:paraId="4CDA4D6E" w14:textId="77777777" w:rsidTr="00C709A7">
        <w:tc>
          <w:tcPr>
            <w:tcW w:w="3960" w:type="dxa"/>
            <w:tcMar>
              <w:top w:w="43" w:type="dxa"/>
              <w:left w:w="115" w:type="dxa"/>
              <w:bottom w:w="43" w:type="dxa"/>
              <w:right w:w="115" w:type="dxa"/>
            </w:tcMar>
          </w:tcPr>
          <w:p w14:paraId="0D3D356F" w14:textId="77777777" w:rsidR="00031EF3" w:rsidRDefault="00031EF3" w:rsidP="006C66F5">
            <w:pPr>
              <w:rPr>
                <w:rFonts w:cs="Arial"/>
              </w:rPr>
            </w:pPr>
            <w:r>
              <w:rPr>
                <w:rFonts w:cs="Arial"/>
              </w:rPr>
              <w:t>List of Data Centers – review to ensure there are no foreign DCs</w:t>
            </w:r>
          </w:p>
        </w:tc>
        <w:tc>
          <w:tcPr>
            <w:tcW w:w="720" w:type="dxa"/>
          </w:tcPr>
          <w:sdt>
            <w:sdtPr>
              <w:rPr>
                <w:rFonts w:cs="Arial"/>
              </w:rPr>
              <w:id w:val="507028510"/>
              <w14:checkbox>
                <w14:checked w14:val="0"/>
                <w14:checkedState w14:val="2612" w14:font="MS Gothic"/>
                <w14:uncheckedState w14:val="2610" w14:font="MS Gothic"/>
              </w14:checkbox>
            </w:sdtPr>
            <w:sdtContent>
              <w:p w14:paraId="0037A617"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761023219"/>
              <w14:checkbox>
                <w14:checked w14:val="0"/>
                <w14:checkedState w14:val="2612" w14:font="MS Gothic"/>
                <w14:uncheckedState w14:val="2610" w14:font="MS Gothic"/>
              </w14:checkbox>
            </w:sdtPr>
            <w:sdtContent>
              <w:p w14:paraId="71EB6DC2"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6FDEAE86" w14:textId="77777777" w:rsidR="00031EF3" w:rsidRDefault="00031EF3" w:rsidP="00200FEE">
            <w:pPr>
              <w:rPr>
                <w:rFonts w:cs="Arial"/>
                <w:bCs/>
              </w:rPr>
            </w:pPr>
          </w:p>
        </w:tc>
      </w:tr>
      <w:tr w:rsidR="00031EF3" w:rsidRPr="00D84D22" w14:paraId="3E42FA6B" w14:textId="77777777" w:rsidTr="00214946">
        <w:tc>
          <w:tcPr>
            <w:tcW w:w="3960" w:type="dxa"/>
            <w:tcMar>
              <w:top w:w="43" w:type="dxa"/>
              <w:left w:w="115" w:type="dxa"/>
              <w:bottom w:w="43" w:type="dxa"/>
              <w:right w:w="115" w:type="dxa"/>
            </w:tcMar>
          </w:tcPr>
          <w:p w14:paraId="6DD94D73" w14:textId="77777777" w:rsidR="00031EF3" w:rsidRDefault="00031EF3" w:rsidP="00214946">
            <w:pPr>
              <w:rPr>
                <w:rFonts w:cs="Arial"/>
              </w:rPr>
            </w:pPr>
            <w:r>
              <w:rPr>
                <w:rFonts w:cs="Arial"/>
              </w:rPr>
              <w:t xml:space="preserve">Testing performed and results – look for exceptions that are usually in </w:t>
            </w:r>
            <w:r w:rsidRPr="00903BC6">
              <w:rPr>
                <w:rFonts w:cs="Arial"/>
                <w:b/>
              </w:rPr>
              <w:t>bold</w:t>
            </w:r>
          </w:p>
        </w:tc>
        <w:tc>
          <w:tcPr>
            <w:tcW w:w="720" w:type="dxa"/>
          </w:tcPr>
          <w:sdt>
            <w:sdtPr>
              <w:rPr>
                <w:rFonts w:cs="Arial"/>
              </w:rPr>
              <w:id w:val="-1423875423"/>
              <w14:checkbox>
                <w14:checked w14:val="0"/>
                <w14:checkedState w14:val="2612" w14:font="MS Gothic"/>
                <w14:uncheckedState w14:val="2610" w14:font="MS Gothic"/>
              </w14:checkbox>
            </w:sdtPr>
            <w:sdtContent>
              <w:p w14:paraId="447D2279"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436791350"/>
              <w14:checkbox>
                <w14:checked w14:val="0"/>
                <w14:checkedState w14:val="2612" w14:font="MS Gothic"/>
                <w14:uncheckedState w14:val="2610" w14:font="MS Gothic"/>
              </w14:checkbox>
            </w:sdtPr>
            <w:sdtContent>
              <w:p w14:paraId="0FA052CD"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149549F5" w14:textId="77777777" w:rsidR="00E9013D" w:rsidRDefault="00E9013D" w:rsidP="00E9013D">
            <w:pPr>
              <w:rPr>
                <w:rFonts w:cs="Arial"/>
                <w:bCs/>
              </w:rPr>
            </w:pPr>
          </w:p>
        </w:tc>
      </w:tr>
      <w:tr w:rsidR="00031EF3" w:rsidRPr="00D84D22" w14:paraId="741E2637" w14:textId="77777777" w:rsidTr="00214946">
        <w:tc>
          <w:tcPr>
            <w:tcW w:w="3960" w:type="dxa"/>
            <w:tcMar>
              <w:top w:w="43" w:type="dxa"/>
              <w:left w:w="115" w:type="dxa"/>
              <w:bottom w:w="43" w:type="dxa"/>
              <w:right w:w="115" w:type="dxa"/>
            </w:tcMar>
          </w:tcPr>
          <w:p w14:paraId="2A8DC07A" w14:textId="77777777" w:rsidR="00031EF3" w:rsidRDefault="00031EF3" w:rsidP="00214946">
            <w:pPr>
              <w:rPr>
                <w:rFonts w:cs="Arial"/>
              </w:rPr>
            </w:pPr>
            <w:r>
              <w:rPr>
                <w:rFonts w:cs="Arial"/>
              </w:rPr>
              <w:t>High-level system diagram of servers – if applicable</w:t>
            </w:r>
          </w:p>
        </w:tc>
        <w:tc>
          <w:tcPr>
            <w:tcW w:w="720" w:type="dxa"/>
          </w:tcPr>
          <w:sdt>
            <w:sdtPr>
              <w:rPr>
                <w:rFonts w:cs="Arial"/>
              </w:rPr>
              <w:id w:val="371206002"/>
              <w14:checkbox>
                <w14:checked w14:val="0"/>
                <w14:checkedState w14:val="2612" w14:font="MS Gothic"/>
                <w14:uncheckedState w14:val="2610" w14:font="MS Gothic"/>
              </w14:checkbox>
            </w:sdtPr>
            <w:sdtContent>
              <w:p w14:paraId="1B1DC77D"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950389374"/>
              <w14:checkbox>
                <w14:checked w14:val="0"/>
                <w14:checkedState w14:val="2612" w14:font="MS Gothic"/>
                <w14:uncheckedState w14:val="2610" w14:font="MS Gothic"/>
              </w14:checkbox>
            </w:sdtPr>
            <w:sdtContent>
              <w:p w14:paraId="607ABE9B"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5FEF22FD" w14:textId="77777777" w:rsidR="00031EF3" w:rsidRDefault="00031EF3" w:rsidP="006C535C">
            <w:pPr>
              <w:rPr>
                <w:rFonts w:cs="Arial"/>
                <w:bCs/>
              </w:rPr>
            </w:pPr>
          </w:p>
        </w:tc>
      </w:tr>
      <w:tr w:rsidR="00031EF3" w:rsidRPr="00D84D22" w14:paraId="6C065862" w14:textId="77777777" w:rsidTr="00C709A7">
        <w:tc>
          <w:tcPr>
            <w:tcW w:w="3960" w:type="dxa"/>
            <w:tcMar>
              <w:top w:w="43" w:type="dxa"/>
              <w:left w:w="115" w:type="dxa"/>
              <w:bottom w:w="43" w:type="dxa"/>
              <w:right w:w="115" w:type="dxa"/>
            </w:tcMar>
          </w:tcPr>
          <w:p w14:paraId="43ACF1CF" w14:textId="77777777" w:rsidR="00031EF3" w:rsidRPr="0069728D" w:rsidRDefault="00031EF3" w:rsidP="00392C23">
            <w:pPr>
              <w:autoSpaceDE w:val="0"/>
              <w:autoSpaceDN w:val="0"/>
              <w:adjustRightInd w:val="0"/>
              <w:rPr>
                <w:rFonts w:cs="Arial"/>
              </w:rPr>
            </w:pPr>
            <w:r w:rsidRPr="0069728D">
              <w:rPr>
                <w:rFonts w:cs="Arial"/>
              </w:rPr>
              <w:t>Independent Evaluator – review the scope and subsequent results to ensure that the independent review conducted is consistent with applicable American Institute of Certified Public Accountants (AICPA) Standards (i.e., AT Section 801) for Reviewing Service Provider Controls.</w:t>
            </w:r>
          </w:p>
        </w:tc>
        <w:tc>
          <w:tcPr>
            <w:tcW w:w="720" w:type="dxa"/>
          </w:tcPr>
          <w:sdt>
            <w:sdtPr>
              <w:rPr>
                <w:rFonts w:cs="Arial"/>
              </w:rPr>
              <w:id w:val="1663665003"/>
              <w14:checkbox>
                <w14:checked w14:val="0"/>
                <w14:checkedState w14:val="2612" w14:font="MS Gothic"/>
                <w14:uncheckedState w14:val="2610" w14:font="MS Gothic"/>
              </w14:checkbox>
            </w:sdtPr>
            <w:sdtContent>
              <w:p w14:paraId="5CC56658"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48150629"/>
              <w14:checkbox>
                <w14:checked w14:val="0"/>
                <w14:checkedState w14:val="2612" w14:font="MS Gothic"/>
                <w14:uncheckedState w14:val="2610" w14:font="MS Gothic"/>
              </w14:checkbox>
            </w:sdtPr>
            <w:sdtContent>
              <w:p w14:paraId="1BF41723"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E285308" w14:textId="77777777" w:rsidR="00031EF3" w:rsidRPr="0096517A" w:rsidRDefault="00031EF3" w:rsidP="0096517A">
            <w:pPr>
              <w:rPr>
                <w:rFonts w:cs="Arial"/>
                <w:bCs/>
                <w:color w:val="0000FF"/>
              </w:rPr>
            </w:pPr>
          </w:p>
        </w:tc>
      </w:tr>
      <w:tr w:rsidR="00031EF3" w:rsidRPr="00D84D22" w14:paraId="668E3E47" w14:textId="77777777" w:rsidTr="00C709A7">
        <w:tc>
          <w:tcPr>
            <w:tcW w:w="3960" w:type="dxa"/>
            <w:tcMar>
              <w:top w:w="43" w:type="dxa"/>
              <w:left w:w="115" w:type="dxa"/>
              <w:bottom w:w="43" w:type="dxa"/>
              <w:right w:w="115" w:type="dxa"/>
            </w:tcMar>
          </w:tcPr>
          <w:p w14:paraId="4A7998D1" w14:textId="77777777" w:rsidR="00031EF3" w:rsidRDefault="00031EF3" w:rsidP="00903BC6">
            <w:pPr>
              <w:pStyle w:val="NormalWeb"/>
              <w:rPr>
                <w:rFonts w:cs="Arial"/>
              </w:rPr>
            </w:pPr>
            <w:r w:rsidRPr="00AE769E">
              <w:rPr>
                <w:rFonts w:ascii="Arial" w:hAnsi="Arial" w:cs="Arial"/>
                <w:sz w:val="20"/>
                <w:szCs w:val="20"/>
              </w:rPr>
              <w:t xml:space="preserve">User Complimentary Controls - review to ensure that </w:t>
            </w:r>
            <w:r>
              <w:rPr>
                <w:rFonts w:ascii="Arial" w:hAnsi="Arial" w:cs="Arial"/>
                <w:sz w:val="20"/>
                <w:szCs w:val="20"/>
              </w:rPr>
              <w:t xml:space="preserve">any requisite </w:t>
            </w:r>
            <w:r w:rsidRPr="00AE769E">
              <w:rPr>
                <w:rFonts w:ascii="Arial" w:hAnsi="Arial" w:cs="Arial"/>
                <w:sz w:val="20"/>
                <w:szCs w:val="20"/>
              </w:rPr>
              <w:t>internal </w:t>
            </w:r>
            <w:r>
              <w:rPr>
                <w:rFonts w:ascii="Arial" w:hAnsi="Arial" w:cs="Arial"/>
                <w:sz w:val="20"/>
                <w:szCs w:val="20"/>
              </w:rPr>
              <w:t>State of Illinois (</w:t>
            </w:r>
            <w:r w:rsidRPr="00AE769E">
              <w:rPr>
                <w:rFonts w:ascii="Arial" w:hAnsi="Arial" w:cs="Arial"/>
                <w:sz w:val="20"/>
                <w:szCs w:val="20"/>
              </w:rPr>
              <w:t>SOI</w:t>
            </w:r>
            <w:r>
              <w:rPr>
                <w:rFonts w:ascii="Arial" w:hAnsi="Arial" w:cs="Arial"/>
                <w:sz w:val="20"/>
                <w:szCs w:val="20"/>
              </w:rPr>
              <w:t>)</w:t>
            </w:r>
            <w:r w:rsidRPr="00AE769E">
              <w:rPr>
                <w:rFonts w:ascii="Arial" w:hAnsi="Arial" w:cs="Arial"/>
                <w:sz w:val="20"/>
                <w:szCs w:val="20"/>
              </w:rPr>
              <w:t xml:space="preserve"> controls </w:t>
            </w:r>
            <w:r>
              <w:rPr>
                <w:rFonts w:ascii="Arial" w:hAnsi="Arial" w:cs="Arial"/>
                <w:sz w:val="20"/>
                <w:szCs w:val="20"/>
              </w:rPr>
              <w:t xml:space="preserve">have been identified and implemented, </w:t>
            </w:r>
            <w:r w:rsidRPr="00AE769E">
              <w:rPr>
                <w:rFonts w:ascii="Arial" w:hAnsi="Arial" w:cs="Arial"/>
                <w:sz w:val="20"/>
                <w:szCs w:val="20"/>
              </w:rPr>
              <w:t xml:space="preserve">that interoperate with and compliment the Service Provider's controls </w:t>
            </w:r>
            <w:r>
              <w:rPr>
                <w:rFonts w:ascii="Arial" w:hAnsi="Arial" w:cs="Arial"/>
                <w:sz w:val="20"/>
                <w:szCs w:val="20"/>
              </w:rPr>
              <w:t xml:space="preserve">thereby </w:t>
            </w:r>
            <w:r w:rsidRPr="00AE769E">
              <w:rPr>
                <w:rFonts w:ascii="Arial" w:hAnsi="Arial" w:cs="Arial"/>
                <w:sz w:val="20"/>
                <w:szCs w:val="20"/>
              </w:rPr>
              <w:t>provid</w:t>
            </w:r>
            <w:r>
              <w:rPr>
                <w:rFonts w:ascii="Arial" w:hAnsi="Arial" w:cs="Arial"/>
                <w:sz w:val="20"/>
                <w:szCs w:val="20"/>
              </w:rPr>
              <w:t>ing</w:t>
            </w:r>
            <w:r w:rsidRPr="00AE769E">
              <w:rPr>
                <w:rFonts w:ascii="Arial" w:hAnsi="Arial" w:cs="Arial"/>
                <w:sz w:val="20"/>
                <w:szCs w:val="20"/>
              </w:rPr>
              <w:t xml:space="preserve"> effective controls </w:t>
            </w:r>
            <w:r>
              <w:rPr>
                <w:rFonts w:ascii="Arial" w:hAnsi="Arial" w:cs="Arial"/>
                <w:sz w:val="20"/>
                <w:szCs w:val="20"/>
              </w:rPr>
              <w:t xml:space="preserve">to </w:t>
            </w:r>
            <w:r w:rsidRPr="00AE769E">
              <w:rPr>
                <w:rFonts w:ascii="Arial" w:hAnsi="Arial" w:cs="Arial"/>
                <w:sz w:val="20"/>
                <w:szCs w:val="20"/>
              </w:rPr>
              <w:t>meet or exceed overall business and system control objectives. </w:t>
            </w:r>
          </w:p>
        </w:tc>
        <w:tc>
          <w:tcPr>
            <w:tcW w:w="720" w:type="dxa"/>
          </w:tcPr>
          <w:sdt>
            <w:sdtPr>
              <w:rPr>
                <w:rFonts w:cs="Arial"/>
              </w:rPr>
              <w:id w:val="-1745104423"/>
              <w14:checkbox>
                <w14:checked w14:val="0"/>
                <w14:checkedState w14:val="2612" w14:font="MS Gothic"/>
                <w14:uncheckedState w14:val="2610" w14:font="MS Gothic"/>
              </w14:checkbox>
            </w:sdtPr>
            <w:sdtContent>
              <w:p w14:paraId="35E87573"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498356369"/>
              <w14:checkbox>
                <w14:checked w14:val="0"/>
                <w14:checkedState w14:val="2612" w14:font="MS Gothic"/>
                <w14:uncheckedState w14:val="2610" w14:font="MS Gothic"/>
              </w14:checkbox>
            </w:sdtPr>
            <w:sdtContent>
              <w:p w14:paraId="31EE895B"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271833F6" w14:textId="77777777" w:rsidR="00031EF3" w:rsidRPr="00C93F96" w:rsidRDefault="00031EF3" w:rsidP="007C75FF">
            <w:pPr>
              <w:rPr>
                <w:rFonts w:cs="Arial"/>
                <w:bCs/>
              </w:rPr>
            </w:pPr>
          </w:p>
        </w:tc>
      </w:tr>
      <w:tr w:rsidR="00031EF3" w:rsidRPr="00D84D22" w14:paraId="26B38EC3" w14:textId="77777777" w:rsidTr="00C709A7">
        <w:tc>
          <w:tcPr>
            <w:tcW w:w="3960" w:type="dxa"/>
            <w:tcMar>
              <w:top w:w="43" w:type="dxa"/>
              <w:left w:w="115" w:type="dxa"/>
              <w:bottom w:w="43" w:type="dxa"/>
              <w:right w:w="115" w:type="dxa"/>
            </w:tcMar>
          </w:tcPr>
          <w:p w14:paraId="79F828CB" w14:textId="77777777" w:rsidR="00031EF3" w:rsidRPr="00E9217A" w:rsidRDefault="00031EF3" w:rsidP="00392C23">
            <w:pPr>
              <w:pStyle w:val="NormalWeb"/>
              <w:rPr>
                <w:rFonts w:cs="Arial"/>
              </w:rPr>
            </w:pPr>
            <w:r w:rsidRPr="00E9217A">
              <w:rPr>
                <w:rFonts w:ascii="Arial" w:hAnsi="Arial" w:cs="Arial"/>
                <w:sz w:val="20"/>
                <w:szCs w:val="20"/>
              </w:rPr>
              <w:t>Sub-Provider Controls - In the event the primary Service Provider utilizes one or more sub-providers, the Business Owner/Technical Reviewer should acquire SOC2 Reports from each of these sub-providers and conduct a review of their controls as well. </w:t>
            </w:r>
          </w:p>
        </w:tc>
        <w:tc>
          <w:tcPr>
            <w:tcW w:w="720" w:type="dxa"/>
          </w:tcPr>
          <w:sdt>
            <w:sdtPr>
              <w:rPr>
                <w:rFonts w:cs="Arial"/>
              </w:rPr>
              <w:id w:val="-218446742"/>
              <w14:checkbox>
                <w14:checked w14:val="0"/>
                <w14:checkedState w14:val="2612" w14:font="MS Gothic"/>
                <w14:uncheckedState w14:val="2610" w14:font="MS Gothic"/>
              </w14:checkbox>
            </w:sdtPr>
            <w:sdtContent>
              <w:p w14:paraId="4041EF61"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856764995"/>
              <w14:checkbox>
                <w14:checked w14:val="0"/>
                <w14:checkedState w14:val="2612" w14:font="MS Gothic"/>
                <w14:uncheckedState w14:val="2610" w14:font="MS Gothic"/>
              </w14:checkbox>
            </w:sdtPr>
            <w:sdtContent>
              <w:p w14:paraId="3C892AFD"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5430213" w14:textId="77777777" w:rsidR="00031EF3" w:rsidRDefault="00031EF3" w:rsidP="0096517A">
            <w:pPr>
              <w:rPr>
                <w:rFonts w:cs="Arial"/>
                <w:bCs/>
              </w:rPr>
            </w:pPr>
          </w:p>
        </w:tc>
      </w:tr>
      <w:tr w:rsidR="00031EF3" w:rsidRPr="00D84D22" w14:paraId="0872A7CD" w14:textId="77777777" w:rsidTr="00C709A7">
        <w:tc>
          <w:tcPr>
            <w:tcW w:w="3960" w:type="dxa"/>
            <w:tcMar>
              <w:top w:w="43" w:type="dxa"/>
              <w:left w:w="115" w:type="dxa"/>
              <w:bottom w:w="43" w:type="dxa"/>
              <w:right w:w="115" w:type="dxa"/>
            </w:tcMar>
          </w:tcPr>
          <w:p w14:paraId="51788C0E" w14:textId="77777777" w:rsidR="00031EF3" w:rsidRDefault="00031EF3" w:rsidP="00392C23">
            <w:pPr>
              <w:rPr>
                <w:rFonts w:cs="Arial"/>
              </w:rPr>
            </w:pPr>
            <w:r>
              <w:rPr>
                <w:rFonts w:cs="Arial"/>
              </w:rPr>
              <w:t>Contractual Controls – review to ensure that all applicable contractual, statutory and regulatory controls have been met.  (Note: This may require interviews with the Service Provider/Sub-Provider.)</w:t>
            </w:r>
          </w:p>
        </w:tc>
        <w:tc>
          <w:tcPr>
            <w:tcW w:w="720" w:type="dxa"/>
          </w:tcPr>
          <w:sdt>
            <w:sdtPr>
              <w:rPr>
                <w:rFonts w:cs="Arial"/>
              </w:rPr>
              <w:id w:val="-2056299657"/>
              <w14:checkbox>
                <w14:checked w14:val="0"/>
                <w14:checkedState w14:val="2612" w14:font="MS Gothic"/>
                <w14:uncheckedState w14:val="2610" w14:font="MS Gothic"/>
              </w14:checkbox>
            </w:sdtPr>
            <w:sdtContent>
              <w:p w14:paraId="18A1DE4A"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746765561"/>
              <w14:checkbox>
                <w14:checked w14:val="0"/>
                <w14:checkedState w14:val="2612" w14:font="MS Gothic"/>
                <w14:uncheckedState w14:val="2610" w14:font="MS Gothic"/>
              </w14:checkbox>
            </w:sdtPr>
            <w:sdtContent>
              <w:p w14:paraId="14D97143"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4DAC98A" w14:textId="77777777" w:rsidR="00031EF3" w:rsidRDefault="00031EF3" w:rsidP="0096517A">
            <w:pPr>
              <w:rPr>
                <w:rFonts w:cs="Arial"/>
                <w:bCs/>
              </w:rPr>
            </w:pPr>
          </w:p>
        </w:tc>
      </w:tr>
      <w:tr w:rsidR="00FA4D85" w:rsidRPr="00D84D22" w14:paraId="4B1B061B" w14:textId="77777777" w:rsidTr="00EA250B">
        <w:tc>
          <w:tcPr>
            <w:tcW w:w="9180" w:type="dxa"/>
            <w:gridSpan w:val="4"/>
            <w:tcMar>
              <w:top w:w="43" w:type="dxa"/>
              <w:left w:w="115" w:type="dxa"/>
              <w:bottom w:w="43" w:type="dxa"/>
              <w:right w:w="115" w:type="dxa"/>
            </w:tcMar>
          </w:tcPr>
          <w:p w14:paraId="319C0FE8" w14:textId="77777777" w:rsidR="00FA4D85" w:rsidRPr="00FA4D85" w:rsidRDefault="00FA4D85">
            <w:pPr>
              <w:rPr>
                <w:rFonts w:cs="Arial"/>
                <w:b/>
                <w:u w:val="single"/>
              </w:rPr>
            </w:pPr>
            <w:r w:rsidRPr="00FA4D85">
              <w:rPr>
                <w:rFonts w:cs="Arial"/>
                <w:b/>
                <w:u w:val="single"/>
              </w:rPr>
              <w:lastRenderedPageBreak/>
              <w:t>Initial Review Items</w:t>
            </w:r>
          </w:p>
        </w:tc>
      </w:tr>
      <w:tr w:rsidR="00E9217A" w:rsidRPr="00D84D22" w14:paraId="586B1349" w14:textId="77777777" w:rsidTr="00EA250B">
        <w:tc>
          <w:tcPr>
            <w:tcW w:w="9180" w:type="dxa"/>
            <w:gridSpan w:val="4"/>
            <w:tcMar>
              <w:top w:w="43" w:type="dxa"/>
              <w:left w:w="115" w:type="dxa"/>
              <w:bottom w:w="43" w:type="dxa"/>
              <w:right w:w="115" w:type="dxa"/>
            </w:tcMar>
          </w:tcPr>
          <w:p w14:paraId="66C616F1" w14:textId="77777777" w:rsidR="00E9217A" w:rsidRPr="00FA4D85" w:rsidRDefault="00E9217A" w:rsidP="00FA4D85">
            <w:pPr>
              <w:rPr>
                <w:rFonts w:cs="Arial"/>
                <w:b/>
                <w:bCs/>
                <w:i/>
                <w:sz w:val="16"/>
                <w:szCs w:val="16"/>
              </w:rPr>
            </w:pPr>
            <w:r w:rsidRPr="00FA4D85">
              <w:rPr>
                <w:rFonts w:cs="Arial"/>
                <w:b/>
                <w:i/>
                <w:sz w:val="16"/>
                <w:szCs w:val="16"/>
              </w:rPr>
              <w:t xml:space="preserve">The following are items that </w:t>
            </w:r>
            <w:r w:rsidR="00FA4D85" w:rsidRPr="00FA4D85">
              <w:rPr>
                <w:rFonts w:cs="Arial"/>
                <w:b/>
                <w:i/>
                <w:sz w:val="16"/>
                <w:szCs w:val="16"/>
              </w:rPr>
              <w:t>may</w:t>
            </w:r>
            <w:r w:rsidRPr="00FA4D85">
              <w:rPr>
                <w:rFonts w:cs="Arial"/>
                <w:b/>
                <w:i/>
                <w:sz w:val="16"/>
                <w:szCs w:val="16"/>
              </w:rPr>
              <w:t xml:space="preserve"> be contained in the SOC </w:t>
            </w:r>
            <w:proofErr w:type="gramStart"/>
            <w:r w:rsidRPr="00FA4D85">
              <w:rPr>
                <w:rFonts w:cs="Arial"/>
                <w:b/>
                <w:i/>
                <w:sz w:val="16"/>
                <w:szCs w:val="16"/>
              </w:rPr>
              <w:t>Report</w:t>
            </w:r>
            <w:proofErr w:type="gramEnd"/>
            <w:r w:rsidRPr="00FA4D85">
              <w:rPr>
                <w:rFonts w:cs="Arial"/>
                <w:b/>
                <w:i/>
                <w:sz w:val="16"/>
                <w:szCs w:val="16"/>
              </w:rPr>
              <w:t xml:space="preserve"> or you may have t</w:t>
            </w:r>
            <w:r w:rsidR="00FA4D85">
              <w:rPr>
                <w:rFonts w:cs="Arial"/>
                <w:b/>
                <w:i/>
                <w:sz w:val="16"/>
                <w:szCs w:val="16"/>
              </w:rPr>
              <w:t>o</w:t>
            </w:r>
            <w:r w:rsidRPr="00FA4D85">
              <w:rPr>
                <w:rFonts w:cs="Arial"/>
                <w:b/>
                <w:i/>
                <w:sz w:val="16"/>
                <w:szCs w:val="16"/>
              </w:rPr>
              <w:t xml:space="preserve"> ask the </w:t>
            </w:r>
            <w:r w:rsidR="00FA4D85">
              <w:rPr>
                <w:rFonts w:cs="Arial"/>
                <w:b/>
                <w:i/>
                <w:sz w:val="16"/>
                <w:szCs w:val="16"/>
              </w:rPr>
              <w:t>Service Provider (</w:t>
            </w:r>
            <w:r w:rsidRPr="00FA4D85">
              <w:rPr>
                <w:rFonts w:cs="Arial"/>
                <w:b/>
                <w:i/>
                <w:sz w:val="16"/>
                <w:szCs w:val="16"/>
              </w:rPr>
              <w:t>vendor</w:t>
            </w:r>
            <w:r w:rsidR="00FA4D85">
              <w:rPr>
                <w:rFonts w:cs="Arial"/>
                <w:b/>
                <w:i/>
                <w:sz w:val="16"/>
                <w:szCs w:val="16"/>
              </w:rPr>
              <w:t>)</w:t>
            </w:r>
            <w:r w:rsidRPr="00FA4D85">
              <w:rPr>
                <w:rFonts w:cs="Arial"/>
                <w:b/>
                <w:i/>
                <w:sz w:val="16"/>
                <w:szCs w:val="16"/>
              </w:rPr>
              <w:t xml:space="preserve"> for additional information</w:t>
            </w:r>
            <w:r w:rsidR="00FA4D85">
              <w:rPr>
                <w:rFonts w:cs="Arial"/>
                <w:b/>
                <w:i/>
                <w:sz w:val="16"/>
                <w:szCs w:val="16"/>
              </w:rPr>
              <w:t>:</w:t>
            </w:r>
            <w:r w:rsidRPr="00FA4D85">
              <w:rPr>
                <w:rFonts w:cs="Arial"/>
                <w:b/>
                <w:i/>
                <w:sz w:val="16"/>
                <w:szCs w:val="16"/>
              </w:rPr>
              <w:t xml:space="preserve">  </w:t>
            </w:r>
          </w:p>
        </w:tc>
      </w:tr>
      <w:tr w:rsidR="00031EF3" w:rsidRPr="00D84D22" w14:paraId="49F0DA41" w14:textId="77777777" w:rsidTr="00C709A7">
        <w:tc>
          <w:tcPr>
            <w:tcW w:w="3960" w:type="dxa"/>
            <w:tcMar>
              <w:top w:w="43" w:type="dxa"/>
              <w:left w:w="115" w:type="dxa"/>
              <w:bottom w:w="43" w:type="dxa"/>
              <w:right w:w="115" w:type="dxa"/>
            </w:tcMar>
          </w:tcPr>
          <w:p w14:paraId="1ECFBB67" w14:textId="77777777" w:rsidR="00031EF3" w:rsidRDefault="00031EF3" w:rsidP="00FA4D85">
            <w:pPr>
              <w:rPr>
                <w:rFonts w:cs="Arial"/>
              </w:rPr>
            </w:pPr>
            <w:r w:rsidRPr="00986D24">
              <w:rPr>
                <w:rFonts w:cs="Arial"/>
              </w:rPr>
              <w:t>Code Migration Process</w:t>
            </w:r>
            <w:r>
              <w:rPr>
                <w:rFonts w:cs="Arial"/>
              </w:rPr>
              <w:t xml:space="preserve"> - </w:t>
            </w:r>
            <w:r>
              <w:t>Review the SOC Report, if not directly included in the SOC Report, i</w:t>
            </w:r>
            <w:r w:rsidRPr="00AD0947">
              <w:t xml:space="preserve">nterview </w:t>
            </w:r>
            <w:r>
              <w:t>the Service Provider</w:t>
            </w:r>
            <w:r w:rsidRPr="00AD0947">
              <w:t xml:space="preserve"> and determine whether the development, testing, and production environments have been distinctively defined.</w:t>
            </w:r>
          </w:p>
        </w:tc>
        <w:tc>
          <w:tcPr>
            <w:tcW w:w="720" w:type="dxa"/>
          </w:tcPr>
          <w:sdt>
            <w:sdtPr>
              <w:rPr>
                <w:rFonts w:cs="Arial"/>
              </w:rPr>
              <w:id w:val="1676919628"/>
              <w14:checkbox>
                <w14:checked w14:val="0"/>
                <w14:checkedState w14:val="2612" w14:font="MS Gothic"/>
                <w14:uncheckedState w14:val="2610" w14:font="MS Gothic"/>
              </w14:checkbox>
            </w:sdtPr>
            <w:sdtContent>
              <w:p w14:paraId="225516C4"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702229810"/>
              <w14:checkbox>
                <w14:checked w14:val="0"/>
                <w14:checkedState w14:val="2612" w14:font="MS Gothic"/>
                <w14:uncheckedState w14:val="2610" w14:font="MS Gothic"/>
              </w14:checkbox>
            </w:sdtPr>
            <w:sdtContent>
              <w:p w14:paraId="35572775"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6B918D91" w14:textId="77777777" w:rsidR="00031EF3" w:rsidRDefault="00031EF3">
            <w:pPr>
              <w:rPr>
                <w:rFonts w:cs="Arial"/>
                <w:bCs/>
              </w:rPr>
            </w:pPr>
          </w:p>
        </w:tc>
      </w:tr>
      <w:tr w:rsidR="00031EF3" w:rsidRPr="00D84D22" w14:paraId="76786DAB" w14:textId="77777777" w:rsidTr="00C709A7">
        <w:tc>
          <w:tcPr>
            <w:tcW w:w="3960" w:type="dxa"/>
            <w:tcMar>
              <w:top w:w="43" w:type="dxa"/>
              <w:left w:w="115" w:type="dxa"/>
              <w:bottom w:w="43" w:type="dxa"/>
              <w:right w:w="115" w:type="dxa"/>
            </w:tcMar>
          </w:tcPr>
          <w:p w14:paraId="37F1BCB7" w14:textId="77777777" w:rsidR="00031EF3" w:rsidRDefault="00031EF3" w:rsidP="00E9217A">
            <w:pPr>
              <w:rPr>
                <w:rFonts w:cs="Arial"/>
              </w:rPr>
            </w:pPr>
            <w:r w:rsidRPr="00986D24">
              <w:rPr>
                <w:rFonts w:cs="Arial"/>
              </w:rPr>
              <w:t>Access to Production Code and Data</w:t>
            </w:r>
            <w:r>
              <w:rPr>
                <w:rFonts w:cs="Arial"/>
              </w:rPr>
              <w:t xml:space="preserve"> - </w:t>
            </w:r>
            <w:r>
              <w:t>Review the SOC Report, if not directly included in the SOC Report, i</w:t>
            </w:r>
            <w:r w:rsidRPr="00AD0947">
              <w:t xml:space="preserve">nterview </w:t>
            </w:r>
            <w:r>
              <w:t>vendor</w:t>
            </w:r>
            <w:r w:rsidRPr="00AD0947">
              <w:t xml:space="preserve"> and determine whether controls are in place to prevent programmers from normal access to production code and data.</w:t>
            </w:r>
          </w:p>
        </w:tc>
        <w:tc>
          <w:tcPr>
            <w:tcW w:w="720" w:type="dxa"/>
          </w:tcPr>
          <w:sdt>
            <w:sdtPr>
              <w:rPr>
                <w:rFonts w:cs="Arial"/>
              </w:rPr>
              <w:id w:val="1317540475"/>
              <w14:checkbox>
                <w14:checked w14:val="0"/>
                <w14:checkedState w14:val="2612" w14:font="MS Gothic"/>
                <w14:uncheckedState w14:val="2610" w14:font="MS Gothic"/>
              </w14:checkbox>
            </w:sdtPr>
            <w:sdtContent>
              <w:p w14:paraId="4FE18ECC"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897717245"/>
              <w14:checkbox>
                <w14:checked w14:val="0"/>
                <w14:checkedState w14:val="2612" w14:font="MS Gothic"/>
                <w14:uncheckedState w14:val="2610" w14:font="MS Gothic"/>
              </w14:checkbox>
            </w:sdtPr>
            <w:sdtContent>
              <w:p w14:paraId="1B300B8B"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1D378866" w14:textId="77777777" w:rsidR="00031EF3" w:rsidRPr="006C66F5" w:rsidRDefault="00031EF3">
            <w:pPr>
              <w:rPr>
                <w:rFonts w:cs="Arial"/>
                <w:bCs/>
              </w:rPr>
            </w:pPr>
          </w:p>
        </w:tc>
      </w:tr>
      <w:tr w:rsidR="00031EF3" w:rsidRPr="00D84D22" w14:paraId="2E5BC027" w14:textId="77777777" w:rsidTr="00C709A7">
        <w:tc>
          <w:tcPr>
            <w:tcW w:w="3960" w:type="dxa"/>
            <w:tcMar>
              <w:top w:w="43" w:type="dxa"/>
              <w:left w:w="115" w:type="dxa"/>
              <w:bottom w:w="43" w:type="dxa"/>
              <w:right w:w="115" w:type="dxa"/>
            </w:tcMar>
          </w:tcPr>
          <w:p w14:paraId="0514374E" w14:textId="77777777" w:rsidR="00031EF3" w:rsidRPr="00D96FAC" w:rsidRDefault="00031EF3" w:rsidP="00E9217A">
            <w:pPr>
              <w:tabs>
                <w:tab w:val="num" w:pos="1494"/>
              </w:tabs>
              <w:spacing w:after="120"/>
              <w:rPr>
                <w:rFonts w:cs="Arial"/>
              </w:rPr>
            </w:pPr>
            <w:r w:rsidRPr="00986D24">
              <w:rPr>
                <w:rFonts w:cs="Arial"/>
              </w:rPr>
              <w:t>Access to Production Program Libraries</w:t>
            </w:r>
            <w:r>
              <w:rPr>
                <w:rFonts w:cs="Arial"/>
              </w:rPr>
              <w:t xml:space="preserve"> – 1.  </w:t>
            </w:r>
            <w:r w:rsidRPr="00AD0947">
              <w:t>Identify what is needed to gain access to Production program libraries. (Who has</w:t>
            </w:r>
            <w:r>
              <w:t xml:space="preserve"> </w:t>
            </w:r>
            <w:r w:rsidRPr="00AD0947">
              <w:t xml:space="preserve">access to the Production </w:t>
            </w:r>
            <w:r>
              <w:t>libraries)</w:t>
            </w:r>
          </w:p>
          <w:p w14:paraId="739A5A50" w14:textId="77777777" w:rsidR="00031EF3" w:rsidRDefault="00031EF3" w:rsidP="00E9217A">
            <w:pPr>
              <w:rPr>
                <w:rFonts w:cs="Arial"/>
              </w:rPr>
            </w:pPr>
            <w:r>
              <w:t xml:space="preserve">2.  </w:t>
            </w:r>
            <w:r w:rsidRPr="00AD0947">
              <w:t>Identify what security monitoring exists on production program libraries.</w:t>
            </w:r>
          </w:p>
        </w:tc>
        <w:tc>
          <w:tcPr>
            <w:tcW w:w="720" w:type="dxa"/>
          </w:tcPr>
          <w:sdt>
            <w:sdtPr>
              <w:rPr>
                <w:rFonts w:cs="Arial"/>
              </w:rPr>
              <w:id w:val="2097678901"/>
              <w14:checkbox>
                <w14:checked w14:val="0"/>
                <w14:checkedState w14:val="2612" w14:font="MS Gothic"/>
                <w14:uncheckedState w14:val="2610" w14:font="MS Gothic"/>
              </w14:checkbox>
            </w:sdtPr>
            <w:sdtContent>
              <w:p w14:paraId="0387AAFF"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564882264"/>
              <w14:checkbox>
                <w14:checked w14:val="0"/>
                <w14:checkedState w14:val="2612" w14:font="MS Gothic"/>
                <w14:uncheckedState w14:val="2610" w14:font="MS Gothic"/>
              </w14:checkbox>
            </w:sdtPr>
            <w:sdtContent>
              <w:p w14:paraId="06B7BCE6"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51D6893D" w14:textId="77777777" w:rsidR="00031EF3" w:rsidRDefault="00031EF3">
            <w:pPr>
              <w:rPr>
                <w:rFonts w:cs="Arial"/>
                <w:bCs/>
              </w:rPr>
            </w:pPr>
          </w:p>
        </w:tc>
      </w:tr>
      <w:tr w:rsidR="00031EF3" w:rsidRPr="00D84D22" w14:paraId="76558D8F" w14:textId="77777777" w:rsidTr="00C709A7">
        <w:tc>
          <w:tcPr>
            <w:tcW w:w="3960" w:type="dxa"/>
            <w:tcMar>
              <w:top w:w="43" w:type="dxa"/>
              <w:left w:w="115" w:type="dxa"/>
              <w:bottom w:w="43" w:type="dxa"/>
              <w:right w:w="115" w:type="dxa"/>
            </w:tcMar>
          </w:tcPr>
          <w:p w14:paraId="10E76D97" w14:textId="77777777" w:rsidR="00031EF3" w:rsidRDefault="00031EF3" w:rsidP="00690473">
            <w:pPr>
              <w:rPr>
                <w:rFonts w:cs="Arial"/>
              </w:rPr>
            </w:pPr>
            <w:r w:rsidRPr="00986D24">
              <w:rPr>
                <w:rFonts w:cs="Arial"/>
              </w:rPr>
              <w:t>Emergency Change Procedures</w:t>
            </w:r>
            <w:r>
              <w:rPr>
                <w:rFonts w:cs="Arial"/>
              </w:rPr>
              <w:t xml:space="preserve"> - </w:t>
            </w:r>
            <w:r>
              <w:t>Review the SOC Report, if not directly included in the SOC Report, i</w:t>
            </w:r>
            <w:r w:rsidRPr="00AD0947">
              <w:t xml:space="preserve">nquire about emergency program changes and verify procedures and </w:t>
            </w:r>
            <w:proofErr w:type="gramStart"/>
            <w:r w:rsidRPr="00AD0947">
              <w:t>controls</w:t>
            </w:r>
            <w:proofErr w:type="gramEnd"/>
            <w:r w:rsidRPr="00AD0947">
              <w:t xml:space="preserve"> have been established.</w:t>
            </w:r>
            <w:r>
              <w:t xml:space="preserve">  </w:t>
            </w:r>
          </w:p>
        </w:tc>
        <w:tc>
          <w:tcPr>
            <w:tcW w:w="720" w:type="dxa"/>
          </w:tcPr>
          <w:sdt>
            <w:sdtPr>
              <w:rPr>
                <w:rFonts w:cs="Arial"/>
              </w:rPr>
              <w:id w:val="378296261"/>
              <w14:checkbox>
                <w14:checked w14:val="0"/>
                <w14:checkedState w14:val="2612" w14:font="MS Gothic"/>
                <w14:uncheckedState w14:val="2610" w14:font="MS Gothic"/>
              </w14:checkbox>
            </w:sdtPr>
            <w:sdtContent>
              <w:p w14:paraId="1963F008"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861551617"/>
              <w14:checkbox>
                <w14:checked w14:val="0"/>
                <w14:checkedState w14:val="2612" w14:font="MS Gothic"/>
                <w14:uncheckedState w14:val="2610" w14:font="MS Gothic"/>
              </w14:checkbox>
            </w:sdtPr>
            <w:sdtContent>
              <w:p w14:paraId="29FC22E6"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48D389AD" w14:textId="77777777" w:rsidR="00031EF3" w:rsidRPr="006C66F5" w:rsidRDefault="00031EF3">
            <w:pPr>
              <w:rPr>
                <w:rFonts w:cs="Arial"/>
                <w:bCs/>
              </w:rPr>
            </w:pPr>
          </w:p>
        </w:tc>
      </w:tr>
      <w:tr w:rsidR="00031EF3" w:rsidRPr="00D84D22" w14:paraId="740C5FCE" w14:textId="77777777" w:rsidTr="00C709A7">
        <w:tc>
          <w:tcPr>
            <w:tcW w:w="3960" w:type="dxa"/>
            <w:tcMar>
              <w:top w:w="43" w:type="dxa"/>
              <w:left w:w="115" w:type="dxa"/>
              <w:bottom w:w="43" w:type="dxa"/>
              <w:right w:w="115" w:type="dxa"/>
            </w:tcMar>
          </w:tcPr>
          <w:p w14:paraId="4B248D60" w14:textId="77777777" w:rsidR="00031EF3" w:rsidRPr="00D84D22" w:rsidRDefault="00031EF3" w:rsidP="00690473">
            <w:pPr>
              <w:rPr>
                <w:rFonts w:cs="Arial"/>
              </w:rPr>
            </w:pPr>
            <w:r w:rsidRPr="00986D24">
              <w:rPr>
                <w:rFonts w:cs="Arial"/>
              </w:rPr>
              <w:t>Quality Assurance</w:t>
            </w:r>
            <w:r>
              <w:rPr>
                <w:rFonts w:cs="Arial"/>
              </w:rPr>
              <w:t xml:space="preserve"> - </w:t>
            </w:r>
            <w:r>
              <w:t xml:space="preserve">Review the SOC Report, if not directly included in the SOC Report, </w:t>
            </w:r>
            <w:r w:rsidRPr="00AD0947">
              <w:t>determine whether quality checks are performed on modified software to ensure standards are followed, and documentation and testing are complete before moving the changes into production.</w:t>
            </w:r>
          </w:p>
        </w:tc>
        <w:tc>
          <w:tcPr>
            <w:tcW w:w="720" w:type="dxa"/>
          </w:tcPr>
          <w:sdt>
            <w:sdtPr>
              <w:rPr>
                <w:rFonts w:cs="Arial"/>
              </w:rPr>
              <w:id w:val="-1634777546"/>
              <w14:checkbox>
                <w14:checked w14:val="0"/>
                <w14:checkedState w14:val="2612" w14:font="MS Gothic"/>
                <w14:uncheckedState w14:val="2610" w14:font="MS Gothic"/>
              </w14:checkbox>
            </w:sdtPr>
            <w:sdtContent>
              <w:p w14:paraId="54508167"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792359469"/>
              <w14:checkbox>
                <w14:checked w14:val="0"/>
                <w14:checkedState w14:val="2612" w14:font="MS Gothic"/>
                <w14:uncheckedState w14:val="2610" w14:font="MS Gothic"/>
              </w14:checkbox>
            </w:sdtPr>
            <w:sdtContent>
              <w:p w14:paraId="2F812AFB"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095A9B81" w14:textId="77777777" w:rsidR="00031EF3" w:rsidRPr="00C53437" w:rsidRDefault="00031EF3">
            <w:pPr>
              <w:rPr>
                <w:rFonts w:cs="Arial"/>
                <w:bCs/>
              </w:rPr>
            </w:pPr>
          </w:p>
        </w:tc>
      </w:tr>
      <w:tr w:rsidR="00031EF3" w:rsidRPr="00D84D22" w14:paraId="497E8D2E" w14:textId="77777777" w:rsidTr="00C709A7">
        <w:tc>
          <w:tcPr>
            <w:tcW w:w="3960" w:type="dxa"/>
            <w:tcMar>
              <w:top w:w="43" w:type="dxa"/>
              <w:left w:w="115" w:type="dxa"/>
              <w:bottom w:w="43" w:type="dxa"/>
              <w:right w:w="115" w:type="dxa"/>
            </w:tcMar>
          </w:tcPr>
          <w:p w14:paraId="19C447AB" w14:textId="77777777" w:rsidR="00031EF3" w:rsidRPr="00E9217A" w:rsidRDefault="00031EF3" w:rsidP="00E9217A">
            <w:pPr>
              <w:pStyle w:val="NormalWeb"/>
              <w:rPr>
                <w:rFonts w:cs="Arial"/>
              </w:rPr>
            </w:pPr>
            <w:r w:rsidRPr="00E9217A">
              <w:rPr>
                <w:rFonts w:ascii="Arial" w:hAnsi="Arial" w:cs="Arial"/>
                <w:sz w:val="20"/>
                <w:szCs w:val="20"/>
              </w:rPr>
              <w:t xml:space="preserve">Business Continuity Plan </w:t>
            </w:r>
            <w:r>
              <w:rPr>
                <w:rFonts w:ascii="Arial" w:hAnsi="Arial" w:cs="Arial"/>
                <w:sz w:val="20"/>
                <w:szCs w:val="20"/>
              </w:rPr>
              <w:t xml:space="preserve">(BCP) </w:t>
            </w:r>
            <w:r w:rsidRPr="00E9217A">
              <w:rPr>
                <w:rFonts w:ascii="Arial" w:hAnsi="Arial" w:cs="Arial"/>
                <w:sz w:val="20"/>
                <w:szCs w:val="20"/>
              </w:rPr>
              <w:t xml:space="preserve">- Verify that the BCP </w:t>
            </w:r>
            <w:r>
              <w:rPr>
                <w:rFonts w:ascii="Arial" w:hAnsi="Arial" w:cs="Arial"/>
                <w:sz w:val="20"/>
                <w:szCs w:val="20"/>
              </w:rPr>
              <w:t xml:space="preserve">is current and that it </w:t>
            </w:r>
            <w:r w:rsidRPr="00E9217A">
              <w:rPr>
                <w:rFonts w:ascii="Arial" w:hAnsi="Arial" w:cs="Arial"/>
                <w:sz w:val="20"/>
                <w:szCs w:val="20"/>
              </w:rPr>
              <w:t xml:space="preserve">covers both the Service Provider(s) and the Business Owner's responsibilities </w:t>
            </w:r>
            <w:proofErr w:type="gramStart"/>
            <w:r w:rsidRPr="00E9217A">
              <w:rPr>
                <w:rFonts w:ascii="Arial" w:hAnsi="Arial" w:cs="Arial"/>
                <w:sz w:val="20"/>
                <w:szCs w:val="20"/>
              </w:rPr>
              <w:t>in order to</w:t>
            </w:r>
            <w:proofErr w:type="gramEnd"/>
            <w:r w:rsidRPr="00E9217A">
              <w:rPr>
                <w:rFonts w:ascii="Arial" w:hAnsi="Arial" w:cs="Arial"/>
                <w:sz w:val="20"/>
                <w:szCs w:val="20"/>
              </w:rPr>
              <w:t xml:space="preserve"> preserve data integrity, security, and sustain the operability of business processes in the event of partial or complete system failure.</w:t>
            </w:r>
          </w:p>
        </w:tc>
        <w:tc>
          <w:tcPr>
            <w:tcW w:w="720" w:type="dxa"/>
          </w:tcPr>
          <w:sdt>
            <w:sdtPr>
              <w:rPr>
                <w:rFonts w:cs="Arial"/>
              </w:rPr>
              <w:id w:val="1616634097"/>
              <w14:checkbox>
                <w14:checked w14:val="0"/>
                <w14:checkedState w14:val="2612" w14:font="MS Gothic"/>
                <w14:uncheckedState w14:val="2610" w14:font="MS Gothic"/>
              </w14:checkbox>
            </w:sdtPr>
            <w:sdtContent>
              <w:p w14:paraId="19FE18E8"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692923127"/>
              <w14:checkbox>
                <w14:checked w14:val="0"/>
                <w14:checkedState w14:val="2612" w14:font="MS Gothic"/>
                <w14:uncheckedState w14:val="2610" w14:font="MS Gothic"/>
              </w14:checkbox>
            </w:sdtPr>
            <w:sdtContent>
              <w:p w14:paraId="440E2F15"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6F31184F" w14:textId="77777777" w:rsidR="00031EF3" w:rsidRPr="006C66F5" w:rsidRDefault="00031EF3">
            <w:pPr>
              <w:rPr>
                <w:rFonts w:cs="Arial"/>
                <w:bCs/>
              </w:rPr>
            </w:pPr>
          </w:p>
        </w:tc>
      </w:tr>
      <w:tr w:rsidR="00031EF3" w:rsidRPr="00D84D22" w14:paraId="238585FF" w14:textId="77777777" w:rsidTr="00C709A7">
        <w:tc>
          <w:tcPr>
            <w:tcW w:w="3960" w:type="dxa"/>
            <w:tcMar>
              <w:top w:w="43" w:type="dxa"/>
              <w:left w:w="115" w:type="dxa"/>
              <w:bottom w:w="43" w:type="dxa"/>
              <w:right w:w="115" w:type="dxa"/>
            </w:tcMar>
          </w:tcPr>
          <w:p w14:paraId="16FAE891" w14:textId="77777777" w:rsidR="00031EF3" w:rsidRDefault="00031EF3" w:rsidP="00CB432D">
            <w:r>
              <w:rPr>
                <w:rFonts w:cs="Arial"/>
              </w:rPr>
              <w:t xml:space="preserve">Disaster Recovery (DR) plan – Verify that internally, a DR plan has been created that identifies both </w:t>
            </w:r>
            <w:r>
              <w:t>Service Provider</w:t>
            </w:r>
            <w:r w:rsidRPr="001C111C">
              <w:t xml:space="preserve"> and Business Owner and the DR Category, RTO Stage, and Disaster Recovery Justification have been provided.</w:t>
            </w:r>
            <w:r>
              <w:t xml:space="preserve">  </w:t>
            </w:r>
          </w:p>
          <w:p w14:paraId="32B8C7C3" w14:textId="77777777" w:rsidR="00031EF3" w:rsidRDefault="00031EF3" w:rsidP="00CB432D"/>
          <w:p w14:paraId="75D44972" w14:textId="77777777" w:rsidR="00031EF3" w:rsidRDefault="00031EF3" w:rsidP="00CB432D">
            <w:pPr>
              <w:rPr>
                <w:rFonts w:cs="Arial"/>
              </w:rPr>
            </w:pPr>
            <w:r>
              <w:t xml:space="preserve">Additionally, determine if the Service Provider (vendor) is responsible for disaster recovery.  If yes, ensure the disaster recovery location has been identified and determine if disaster </w:t>
            </w:r>
            <w:r>
              <w:lastRenderedPageBreak/>
              <w:t xml:space="preserve">recovery tests are completed annually.  </w:t>
            </w:r>
          </w:p>
        </w:tc>
        <w:tc>
          <w:tcPr>
            <w:tcW w:w="720" w:type="dxa"/>
          </w:tcPr>
          <w:sdt>
            <w:sdtPr>
              <w:rPr>
                <w:rFonts w:cs="Arial"/>
              </w:rPr>
              <w:id w:val="-842864144"/>
              <w14:checkbox>
                <w14:checked w14:val="0"/>
                <w14:checkedState w14:val="2612" w14:font="MS Gothic"/>
                <w14:uncheckedState w14:val="2610" w14:font="MS Gothic"/>
              </w14:checkbox>
            </w:sdtPr>
            <w:sdtContent>
              <w:p w14:paraId="6C1290CC"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299044984"/>
              <w14:checkbox>
                <w14:checked w14:val="0"/>
                <w14:checkedState w14:val="2612" w14:font="MS Gothic"/>
                <w14:uncheckedState w14:val="2610" w14:font="MS Gothic"/>
              </w14:checkbox>
            </w:sdtPr>
            <w:sdtContent>
              <w:p w14:paraId="1F49E204"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0706953" w14:textId="77777777" w:rsidR="00031EF3" w:rsidRPr="006C66F5" w:rsidRDefault="00031EF3">
            <w:pPr>
              <w:rPr>
                <w:rFonts w:cs="Arial"/>
                <w:bCs/>
              </w:rPr>
            </w:pPr>
          </w:p>
        </w:tc>
      </w:tr>
      <w:tr w:rsidR="00031EF3" w:rsidRPr="00D84D22" w14:paraId="0BEE292C" w14:textId="77777777" w:rsidTr="00C709A7">
        <w:tc>
          <w:tcPr>
            <w:tcW w:w="3960" w:type="dxa"/>
            <w:tcMar>
              <w:top w:w="43" w:type="dxa"/>
              <w:left w:w="115" w:type="dxa"/>
              <w:bottom w:w="43" w:type="dxa"/>
              <w:right w:w="115" w:type="dxa"/>
            </w:tcMar>
          </w:tcPr>
          <w:p w14:paraId="54725064" w14:textId="77777777" w:rsidR="00031EF3" w:rsidRDefault="00031EF3" w:rsidP="00EC1F57">
            <w:pPr>
              <w:pStyle w:val="NormalWeb"/>
              <w:rPr>
                <w:rFonts w:cs="Arial"/>
              </w:rPr>
            </w:pPr>
            <w:r w:rsidRPr="00E9217A">
              <w:rPr>
                <w:rFonts w:ascii="Arial" w:hAnsi="Arial" w:cs="Arial"/>
                <w:sz w:val="20"/>
                <w:szCs w:val="20"/>
              </w:rPr>
              <w:t>Vulnerability Scan - If applicable (</w:t>
            </w:r>
            <w:proofErr w:type="gramStart"/>
            <w:r w:rsidRPr="00E9217A">
              <w:rPr>
                <w:rFonts w:ascii="Arial" w:hAnsi="Arial" w:cs="Arial"/>
                <w:sz w:val="20"/>
                <w:szCs w:val="20"/>
              </w:rPr>
              <w:t>web based</w:t>
            </w:r>
            <w:proofErr w:type="gramEnd"/>
            <w:r w:rsidRPr="00E9217A">
              <w:rPr>
                <w:rFonts w:ascii="Arial" w:hAnsi="Arial" w:cs="Arial"/>
                <w:sz w:val="20"/>
                <w:szCs w:val="20"/>
              </w:rPr>
              <w:t xml:space="preserve"> applications) verify that the system/application has had vulnerability testing/preproduction scans performed by the Technical Safeguards Unit or a state approved 3</w:t>
            </w:r>
            <w:r w:rsidRPr="00E9217A">
              <w:rPr>
                <w:rFonts w:ascii="Arial" w:hAnsi="Arial" w:cs="Arial"/>
                <w:sz w:val="20"/>
                <w:szCs w:val="20"/>
                <w:vertAlign w:val="superscript"/>
              </w:rPr>
              <w:t>rd</w:t>
            </w:r>
            <w:r w:rsidRPr="00E9217A">
              <w:rPr>
                <w:rFonts w:ascii="Arial" w:hAnsi="Arial" w:cs="Arial"/>
                <w:sz w:val="20"/>
                <w:szCs w:val="20"/>
              </w:rPr>
              <w:t xml:space="preserve"> party. Vulnerability Scans should be conducted whenever code changes are implemented and, at a minimum, annually thereafter.</w:t>
            </w:r>
          </w:p>
        </w:tc>
        <w:tc>
          <w:tcPr>
            <w:tcW w:w="720" w:type="dxa"/>
          </w:tcPr>
          <w:sdt>
            <w:sdtPr>
              <w:rPr>
                <w:rFonts w:cs="Arial"/>
              </w:rPr>
              <w:id w:val="-1135792643"/>
              <w14:checkbox>
                <w14:checked w14:val="0"/>
                <w14:checkedState w14:val="2612" w14:font="MS Gothic"/>
                <w14:uncheckedState w14:val="2610" w14:font="MS Gothic"/>
              </w14:checkbox>
            </w:sdtPr>
            <w:sdtContent>
              <w:p w14:paraId="4082F47B" w14:textId="77777777" w:rsidR="00031EF3" w:rsidRPr="00D84D22" w:rsidRDefault="00031EF3" w:rsidP="000E3154">
                <w:pPr>
                  <w:jc w:val="center"/>
                  <w:rPr>
                    <w:rFonts w:cs="Arial"/>
                  </w:rPr>
                </w:pPr>
                <w:r>
                  <w:rPr>
                    <w:rFonts w:ascii="MS Gothic" w:eastAsia="MS Gothic" w:hAnsi="MS Gothic" w:cs="Arial" w:hint="eastAsia"/>
                  </w:rPr>
                  <w:t>☐</w:t>
                </w:r>
              </w:p>
            </w:sdtContent>
          </w:sdt>
        </w:tc>
        <w:tc>
          <w:tcPr>
            <w:tcW w:w="720" w:type="dxa"/>
            <w:tcMar>
              <w:top w:w="43" w:type="dxa"/>
              <w:left w:w="115" w:type="dxa"/>
              <w:bottom w:w="43" w:type="dxa"/>
              <w:right w:w="115" w:type="dxa"/>
            </w:tcMar>
          </w:tcPr>
          <w:sdt>
            <w:sdtPr>
              <w:rPr>
                <w:rFonts w:cs="Arial"/>
              </w:rPr>
              <w:id w:val="-1920170698"/>
              <w14:checkbox>
                <w14:checked w14:val="0"/>
                <w14:checkedState w14:val="2612" w14:font="MS Gothic"/>
                <w14:uncheckedState w14:val="2610" w14:font="MS Gothic"/>
              </w14:checkbox>
            </w:sdtPr>
            <w:sdtContent>
              <w:p w14:paraId="7AE9D897" w14:textId="77777777" w:rsidR="00031EF3" w:rsidRPr="00D84D22" w:rsidRDefault="00C93F96" w:rsidP="000E3154">
                <w:pPr>
                  <w:jc w:val="center"/>
                  <w:rPr>
                    <w:rFonts w:cs="Arial"/>
                  </w:rPr>
                </w:pPr>
                <w:r>
                  <w:rPr>
                    <w:rFonts w:ascii="MS Gothic" w:eastAsia="MS Gothic" w:hAnsi="MS Gothic" w:cs="Arial" w:hint="eastAsia"/>
                  </w:rPr>
                  <w:t>☐</w:t>
                </w:r>
              </w:p>
            </w:sdtContent>
          </w:sdt>
        </w:tc>
        <w:tc>
          <w:tcPr>
            <w:tcW w:w="3780" w:type="dxa"/>
            <w:tcMar>
              <w:top w:w="43" w:type="dxa"/>
              <w:left w:w="115" w:type="dxa"/>
              <w:bottom w:w="43" w:type="dxa"/>
              <w:right w:w="115" w:type="dxa"/>
            </w:tcMar>
          </w:tcPr>
          <w:p w14:paraId="782704C0" w14:textId="77777777" w:rsidR="00031EF3" w:rsidRDefault="00031EF3">
            <w:pPr>
              <w:rPr>
                <w:rFonts w:cs="Arial"/>
                <w:bCs/>
              </w:rPr>
            </w:pPr>
          </w:p>
        </w:tc>
      </w:tr>
    </w:tbl>
    <w:p w14:paraId="4AAE345B" w14:textId="77777777" w:rsidR="00DA3EB5" w:rsidRDefault="00DA3EB5" w:rsidP="00DA3EB5">
      <w:pPr>
        <w:rPr>
          <w:bC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7"/>
        <w:gridCol w:w="3553"/>
      </w:tblGrid>
      <w:tr w:rsidR="00FF1B83" w:rsidRPr="00FF1B83" w14:paraId="0632A874" w14:textId="77777777" w:rsidTr="00820102">
        <w:tc>
          <w:tcPr>
            <w:tcW w:w="6977" w:type="dxa"/>
          </w:tcPr>
          <w:p w14:paraId="181B69D1" w14:textId="77777777" w:rsidR="00FF1B83" w:rsidRPr="00FF1B83" w:rsidRDefault="00FF1B83" w:rsidP="004252C1">
            <w:pPr>
              <w:rPr>
                <w:b/>
                <w:sz w:val="22"/>
                <w:szCs w:val="24"/>
              </w:rPr>
            </w:pPr>
            <w:r w:rsidRPr="00FF1B83">
              <w:rPr>
                <w:b/>
                <w:sz w:val="22"/>
                <w:szCs w:val="24"/>
              </w:rPr>
              <w:t>Comments</w:t>
            </w:r>
            <w:r w:rsidR="00C709A7">
              <w:rPr>
                <w:b/>
                <w:sz w:val="22"/>
                <w:szCs w:val="24"/>
              </w:rPr>
              <w:t>:</w:t>
            </w:r>
          </w:p>
        </w:tc>
        <w:tc>
          <w:tcPr>
            <w:tcW w:w="3553" w:type="dxa"/>
          </w:tcPr>
          <w:p w14:paraId="6EB739D6" w14:textId="77777777" w:rsidR="00FF1B83" w:rsidRPr="00FF1B83" w:rsidRDefault="00FF1B83" w:rsidP="004252C1">
            <w:pPr>
              <w:rPr>
                <w:b/>
                <w:sz w:val="22"/>
                <w:szCs w:val="24"/>
              </w:rPr>
            </w:pPr>
          </w:p>
        </w:tc>
      </w:tr>
      <w:tr w:rsidR="00FF1B83" w:rsidRPr="00FF1B83" w14:paraId="072F1163" w14:textId="77777777" w:rsidTr="00820102">
        <w:trPr>
          <w:trHeight w:val="756"/>
        </w:trPr>
        <w:tc>
          <w:tcPr>
            <w:tcW w:w="10530" w:type="dxa"/>
            <w:gridSpan w:val="2"/>
          </w:tcPr>
          <w:p w14:paraId="60751838" w14:textId="77777777" w:rsidR="00FF1B83" w:rsidRPr="00FF1B83" w:rsidRDefault="00C709A7" w:rsidP="004252C1">
            <w:r>
              <w:t>SOC2 Report to be reviewed annually by Business Owner</w:t>
            </w:r>
          </w:p>
        </w:tc>
      </w:tr>
      <w:tr w:rsidR="00FF1B83" w:rsidRPr="00FF1B83" w14:paraId="745F7C1F" w14:textId="77777777" w:rsidTr="00820102">
        <w:tc>
          <w:tcPr>
            <w:tcW w:w="6977" w:type="dxa"/>
          </w:tcPr>
          <w:p w14:paraId="33BAABCD" w14:textId="77777777" w:rsidR="00FF1B83" w:rsidRPr="00FF1B83" w:rsidRDefault="00FF1B83" w:rsidP="004252C1">
            <w:pPr>
              <w:rPr>
                <w:b/>
                <w:sz w:val="22"/>
                <w:szCs w:val="24"/>
              </w:rPr>
            </w:pPr>
          </w:p>
        </w:tc>
        <w:tc>
          <w:tcPr>
            <w:tcW w:w="3553" w:type="dxa"/>
          </w:tcPr>
          <w:p w14:paraId="1B5DB117" w14:textId="77777777" w:rsidR="00FF1B83" w:rsidRPr="00FF1B83" w:rsidRDefault="00FF1B83" w:rsidP="004252C1">
            <w:pPr>
              <w:rPr>
                <w:b/>
                <w:sz w:val="22"/>
                <w:szCs w:val="24"/>
              </w:rPr>
            </w:pPr>
          </w:p>
        </w:tc>
      </w:tr>
      <w:tr w:rsidR="00FF1B83" w:rsidRPr="00FF1B83" w14:paraId="684C7AA4" w14:textId="77777777" w:rsidTr="00820102">
        <w:tc>
          <w:tcPr>
            <w:tcW w:w="6977" w:type="dxa"/>
          </w:tcPr>
          <w:p w14:paraId="0E299705" w14:textId="77777777" w:rsidR="00FF1B83" w:rsidRPr="00FF1B83" w:rsidRDefault="00FF1B83" w:rsidP="004252C1">
            <w:pPr>
              <w:rPr>
                <w:b/>
                <w:sz w:val="22"/>
                <w:szCs w:val="24"/>
              </w:rPr>
            </w:pPr>
            <w:r w:rsidRPr="00FF1B83">
              <w:rPr>
                <w:b/>
                <w:sz w:val="22"/>
                <w:szCs w:val="24"/>
              </w:rPr>
              <w:t>Approval</w:t>
            </w:r>
          </w:p>
        </w:tc>
        <w:tc>
          <w:tcPr>
            <w:tcW w:w="3553" w:type="dxa"/>
          </w:tcPr>
          <w:p w14:paraId="6C9341B4" w14:textId="77777777" w:rsidR="00FF1B83" w:rsidRPr="00FF1B83" w:rsidRDefault="00FF1B83" w:rsidP="004252C1">
            <w:pPr>
              <w:rPr>
                <w:b/>
                <w:sz w:val="22"/>
                <w:szCs w:val="24"/>
              </w:rPr>
            </w:pPr>
          </w:p>
        </w:tc>
      </w:tr>
    </w:tbl>
    <w:p w14:paraId="5909E747" w14:textId="77777777" w:rsidR="00820102" w:rsidRDefault="00820102" w:rsidP="00FF1B83">
      <w:pPr>
        <w:tabs>
          <w:tab w:val="left" w:pos="7085"/>
        </w:tabs>
        <w:ind w:left="108"/>
        <w:rPr>
          <w:b/>
        </w:rPr>
      </w:pPr>
    </w:p>
    <w:p w14:paraId="6BFA78BD" w14:textId="77777777" w:rsidR="00820102" w:rsidRDefault="00820102" w:rsidP="00FF1B83">
      <w:pPr>
        <w:tabs>
          <w:tab w:val="left" w:pos="7085"/>
        </w:tabs>
        <w:ind w:left="108"/>
        <w:rPr>
          <w:b/>
        </w:rPr>
      </w:pPr>
    </w:p>
    <w:p w14:paraId="02F6E4B9" w14:textId="77777777" w:rsidR="00820102" w:rsidRDefault="0027188A" w:rsidP="00FF1B83">
      <w:pPr>
        <w:tabs>
          <w:tab w:val="left" w:pos="7085"/>
        </w:tabs>
        <w:ind w:left="108"/>
        <w:rPr>
          <w:b/>
        </w:rPr>
      </w:pPr>
      <w:r>
        <w:rPr>
          <w:b/>
          <w:noProof/>
        </w:rPr>
        <mc:AlternateContent>
          <mc:Choice Requires="wps">
            <w:drawing>
              <wp:anchor distT="0" distB="0" distL="114300" distR="114300" simplePos="0" relativeHeight="251660288" behindDoc="0" locked="0" layoutInCell="1" allowOverlap="1" wp14:anchorId="43F41514" wp14:editId="05D96C52">
                <wp:simplePos x="0" y="0"/>
                <wp:positionH relativeFrom="column">
                  <wp:posOffset>4448175</wp:posOffset>
                </wp:positionH>
                <wp:positionV relativeFrom="paragraph">
                  <wp:posOffset>88265</wp:posOffset>
                </wp:positionV>
                <wp:extent cx="22193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19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5BF0AC"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6.95pt" to="5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" strokecolor="black [3040]">
                <o:lock v:ext="edit" shapetype="f"/>
              </v:line>
            </w:pict>
          </mc:Fallback>
        </mc:AlternateContent>
      </w:r>
      <w:r>
        <w:rPr>
          <w:b/>
          <w:noProof/>
        </w:rPr>
        <mc:AlternateContent>
          <mc:Choice Requires="wps">
            <w:drawing>
              <wp:anchor distT="0" distB="0" distL="114300" distR="114300" simplePos="0" relativeHeight="251659264" behindDoc="0" locked="0" layoutInCell="1" allowOverlap="1" wp14:anchorId="011D4748" wp14:editId="5B443F31">
                <wp:simplePos x="0" y="0"/>
                <wp:positionH relativeFrom="column">
                  <wp:posOffset>0</wp:posOffset>
                </wp:positionH>
                <wp:positionV relativeFrom="paragraph">
                  <wp:posOffset>88265</wp:posOffset>
                </wp:positionV>
                <wp:extent cx="4133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33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801B2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32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" strokecolor="black [3040]">
                <o:lock v:ext="edit" shapetype="f"/>
              </v:line>
            </w:pict>
          </mc:Fallback>
        </mc:AlternateContent>
      </w:r>
    </w:p>
    <w:p w14:paraId="54B13CA3" w14:textId="77777777" w:rsidR="00820102" w:rsidRPr="00FF1B83" w:rsidRDefault="00C709A7" w:rsidP="00FF1B83">
      <w:pPr>
        <w:tabs>
          <w:tab w:val="left" w:pos="7085"/>
        </w:tabs>
        <w:ind w:left="108"/>
        <w:rPr>
          <w:b/>
        </w:rPr>
      </w:pPr>
      <w:r>
        <w:rPr>
          <w:b/>
        </w:rPr>
        <w:t>Business Owner</w:t>
      </w:r>
      <w:r w:rsidR="00820102" w:rsidRPr="00FF1B83">
        <w:rPr>
          <w:b/>
        </w:rPr>
        <w:tab/>
        <w:t>Date</w:t>
      </w:r>
    </w:p>
    <w:bookmarkEnd w:id="0"/>
    <w:p w14:paraId="2E70123C" w14:textId="77777777" w:rsidR="001775D1" w:rsidRPr="00C474F9" w:rsidRDefault="001775D1" w:rsidP="00FF1B83">
      <w:pPr>
        <w:tabs>
          <w:tab w:val="left" w:pos="1800"/>
          <w:tab w:val="left" w:pos="5400"/>
        </w:tabs>
        <w:rPr>
          <w:b/>
        </w:rPr>
      </w:pPr>
    </w:p>
    <w:sectPr w:rsidR="001775D1" w:rsidRPr="00C474F9" w:rsidSect="00CA527D">
      <w:headerReference w:type="default" r:id="rId9"/>
      <w:footerReference w:type="firs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F5488" w14:textId="77777777" w:rsidR="00EF11CD" w:rsidRDefault="00EF11CD">
      <w:r>
        <w:separator/>
      </w:r>
    </w:p>
  </w:endnote>
  <w:endnote w:type="continuationSeparator" w:id="0">
    <w:p w14:paraId="5B4F05F2" w14:textId="77777777" w:rsidR="00EF11CD" w:rsidRDefault="00EF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DC0C" w14:textId="77777777" w:rsidR="006E0FC3" w:rsidRDefault="00AF392E" w:rsidP="00B939FB">
    <w:pPr>
      <w:pStyle w:val="Footer"/>
      <w:pBdr>
        <w:top w:val="single" w:sz="8" w:space="1" w:color="auto"/>
      </w:pBdr>
      <w:rPr>
        <w:b/>
        <w:sz w:val="18"/>
        <w:szCs w:val="18"/>
      </w:rPr>
    </w:pPr>
    <w:r w:rsidRPr="006E0FC3">
      <w:rPr>
        <w:b/>
        <w:sz w:val="18"/>
        <w:szCs w:val="18"/>
      </w:rPr>
      <w:t>Confidential</w:t>
    </w:r>
  </w:p>
  <w:p w14:paraId="41B877F9" w14:textId="77777777" w:rsidR="006E0FC3" w:rsidRPr="006E0FC3" w:rsidRDefault="00864A8E" w:rsidP="00B939FB">
    <w:pPr>
      <w:pStyle w:val="Footer"/>
      <w:pBdr>
        <w:top w:val="single" w:sz="8" w:space="1" w:color="auto"/>
      </w:pBdr>
      <w:rPr>
        <w:sz w:val="18"/>
        <w:szCs w:val="18"/>
      </w:rPr>
    </w:pPr>
    <w:r w:rsidRPr="006E0FC3">
      <w:rPr>
        <w:sz w:val="18"/>
        <w:szCs w:val="18"/>
      </w:rPr>
      <w:fldChar w:fldCharType="begin"/>
    </w:r>
    <w:r w:rsidR="006E0FC3" w:rsidRPr="006E0FC3">
      <w:rPr>
        <w:sz w:val="18"/>
        <w:szCs w:val="18"/>
      </w:rPr>
      <w:instrText xml:space="preserve"> FILENAME </w:instrText>
    </w:r>
    <w:r w:rsidRPr="006E0FC3">
      <w:rPr>
        <w:sz w:val="18"/>
        <w:szCs w:val="18"/>
      </w:rPr>
      <w:fldChar w:fldCharType="separate"/>
    </w:r>
    <w:r w:rsidR="00EE43E5">
      <w:rPr>
        <w:noProof/>
        <w:sz w:val="18"/>
        <w:szCs w:val="18"/>
      </w:rPr>
      <w:t>SOC2 Annual-Initial Audit Checklist v1.02 - 032615.docx</w:t>
    </w:r>
    <w:r w:rsidRPr="006E0FC3">
      <w:rPr>
        <w:sz w:val="18"/>
        <w:szCs w:val="18"/>
      </w:rPr>
      <w:fldChar w:fldCharType="end"/>
    </w:r>
  </w:p>
  <w:p w14:paraId="5CDF6D76" w14:textId="77777777" w:rsidR="00AF392E" w:rsidRPr="006E0FC3" w:rsidRDefault="006E0FC3" w:rsidP="00B939FB">
    <w:pPr>
      <w:pStyle w:val="Footer"/>
      <w:pBdr>
        <w:top w:val="single" w:sz="8" w:space="1" w:color="auto"/>
      </w:pBdr>
      <w:rPr>
        <w:sz w:val="18"/>
        <w:szCs w:val="18"/>
      </w:rPr>
    </w:pPr>
    <w:r w:rsidRPr="006E0FC3">
      <w:rPr>
        <w:sz w:val="18"/>
        <w:szCs w:val="18"/>
      </w:rPr>
      <w:t xml:space="preserve">Last printed </w:t>
    </w:r>
    <w:r w:rsidR="00864A8E" w:rsidRPr="006E0FC3">
      <w:rPr>
        <w:sz w:val="18"/>
        <w:szCs w:val="18"/>
      </w:rPr>
      <w:fldChar w:fldCharType="begin"/>
    </w:r>
    <w:r w:rsidRPr="006E0FC3">
      <w:rPr>
        <w:sz w:val="18"/>
        <w:szCs w:val="18"/>
      </w:rPr>
      <w:instrText xml:space="preserve"> PRINTDATE \@ "M/d/yyyy h:mm:ss am/pm" </w:instrText>
    </w:r>
    <w:r w:rsidR="00864A8E" w:rsidRPr="006E0FC3">
      <w:rPr>
        <w:sz w:val="18"/>
        <w:szCs w:val="18"/>
      </w:rPr>
      <w:fldChar w:fldCharType="separate"/>
    </w:r>
    <w:r w:rsidR="00EE43E5">
      <w:rPr>
        <w:noProof/>
        <w:sz w:val="18"/>
        <w:szCs w:val="18"/>
      </w:rPr>
      <w:t>3/26/2015 10:03:00 AM</w:t>
    </w:r>
    <w:r w:rsidR="00864A8E" w:rsidRPr="006E0FC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FB0A2" w14:textId="77777777" w:rsidR="00EF11CD" w:rsidRDefault="00EF11CD">
      <w:r>
        <w:separator/>
      </w:r>
    </w:p>
  </w:footnote>
  <w:footnote w:type="continuationSeparator" w:id="0">
    <w:p w14:paraId="4F633C9C" w14:textId="77777777" w:rsidR="00EF11CD" w:rsidRDefault="00EF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B3ABC" w14:textId="77777777" w:rsidR="00AF392E" w:rsidRPr="00D0286D" w:rsidRDefault="00AF392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830_"/>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8D5D1D"/>
    <w:multiLevelType w:val="multilevel"/>
    <w:tmpl w:val="E63A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9"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97150664">
    <w:abstractNumId w:val="14"/>
  </w:num>
  <w:num w:numId="2" w16cid:durableId="1632588705">
    <w:abstractNumId w:val="5"/>
  </w:num>
  <w:num w:numId="3" w16cid:durableId="1358241944">
    <w:abstractNumId w:val="12"/>
  </w:num>
  <w:num w:numId="4" w16cid:durableId="1611281245">
    <w:abstractNumId w:val="6"/>
  </w:num>
  <w:num w:numId="5" w16cid:durableId="1754811391">
    <w:abstractNumId w:val="3"/>
  </w:num>
  <w:num w:numId="6" w16cid:durableId="1930498983">
    <w:abstractNumId w:val="11"/>
  </w:num>
  <w:num w:numId="7" w16cid:durableId="1147941933">
    <w:abstractNumId w:val="13"/>
  </w:num>
  <w:num w:numId="8" w16cid:durableId="1529754235">
    <w:abstractNumId w:val="10"/>
  </w:num>
  <w:num w:numId="9" w16cid:durableId="699012714">
    <w:abstractNumId w:val="4"/>
  </w:num>
  <w:num w:numId="10" w16cid:durableId="1197621739">
    <w:abstractNumId w:val="2"/>
  </w:num>
  <w:num w:numId="11" w16cid:durableId="493646995">
    <w:abstractNumId w:val="16"/>
  </w:num>
  <w:num w:numId="12" w16cid:durableId="692800260">
    <w:abstractNumId w:val="9"/>
  </w:num>
  <w:num w:numId="13" w16cid:durableId="529227746">
    <w:abstractNumId w:val="8"/>
  </w:num>
  <w:num w:numId="14" w16cid:durableId="279844608">
    <w:abstractNumId w:val="1"/>
  </w:num>
  <w:num w:numId="15" w16cid:durableId="1198006906">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16cid:durableId="1000348282">
    <w:abstractNumId w:val="17"/>
  </w:num>
  <w:num w:numId="17" w16cid:durableId="1793787169">
    <w:abstractNumId w:val="15"/>
  </w:num>
  <w:num w:numId="18" w16cid:durableId="124957696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D4"/>
    <w:rsid w:val="000079D3"/>
    <w:rsid w:val="00030F87"/>
    <w:rsid w:val="0003155D"/>
    <w:rsid w:val="00031EF3"/>
    <w:rsid w:val="00033DBD"/>
    <w:rsid w:val="0003452D"/>
    <w:rsid w:val="0005440A"/>
    <w:rsid w:val="00067585"/>
    <w:rsid w:val="000722CE"/>
    <w:rsid w:val="000747F6"/>
    <w:rsid w:val="00080913"/>
    <w:rsid w:val="0009151E"/>
    <w:rsid w:val="00093E8C"/>
    <w:rsid w:val="000B1121"/>
    <w:rsid w:val="000B1FD4"/>
    <w:rsid w:val="000B2A3C"/>
    <w:rsid w:val="000B550C"/>
    <w:rsid w:val="000C2BBD"/>
    <w:rsid w:val="000C30CC"/>
    <w:rsid w:val="000C3DED"/>
    <w:rsid w:val="000C5E84"/>
    <w:rsid w:val="000C7C29"/>
    <w:rsid w:val="000D40A2"/>
    <w:rsid w:val="000E2EEF"/>
    <w:rsid w:val="000E3A64"/>
    <w:rsid w:val="0010459F"/>
    <w:rsid w:val="00112379"/>
    <w:rsid w:val="00113834"/>
    <w:rsid w:val="00114CF3"/>
    <w:rsid w:val="00116F0A"/>
    <w:rsid w:val="001252A7"/>
    <w:rsid w:val="00132DBA"/>
    <w:rsid w:val="0013642E"/>
    <w:rsid w:val="00137857"/>
    <w:rsid w:val="00140D6C"/>
    <w:rsid w:val="001569E8"/>
    <w:rsid w:val="001775D1"/>
    <w:rsid w:val="0018020A"/>
    <w:rsid w:val="00180D33"/>
    <w:rsid w:val="00192910"/>
    <w:rsid w:val="00194A55"/>
    <w:rsid w:val="00196193"/>
    <w:rsid w:val="001A72CC"/>
    <w:rsid w:val="001C129C"/>
    <w:rsid w:val="001C267F"/>
    <w:rsid w:val="001C4105"/>
    <w:rsid w:val="001C4D72"/>
    <w:rsid w:val="001D1D6C"/>
    <w:rsid w:val="001E1188"/>
    <w:rsid w:val="001E5EF4"/>
    <w:rsid w:val="001F435A"/>
    <w:rsid w:val="001F7C2E"/>
    <w:rsid w:val="00200FEE"/>
    <w:rsid w:val="00204ABE"/>
    <w:rsid w:val="00204EAB"/>
    <w:rsid w:val="00216E76"/>
    <w:rsid w:val="00220BEF"/>
    <w:rsid w:val="00241A5E"/>
    <w:rsid w:val="00265D51"/>
    <w:rsid w:val="0027188A"/>
    <w:rsid w:val="002772CF"/>
    <w:rsid w:val="00277C70"/>
    <w:rsid w:val="002872E2"/>
    <w:rsid w:val="0029501B"/>
    <w:rsid w:val="0029657F"/>
    <w:rsid w:val="0029783A"/>
    <w:rsid w:val="002A0A12"/>
    <w:rsid w:val="002B4DB7"/>
    <w:rsid w:val="002C1D78"/>
    <w:rsid w:val="002C354A"/>
    <w:rsid w:val="002D1477"/>
    <w:rsid w:val="002D2AEE"/>
    <w:rsid w:val="002D5392"/>
    <w:rsid w:val="002F76B1"/>
    <w:rsid w:val="00301FD9"/>
    <w:rsid w:val="00302590"/>
    <w:rsid w:val="00306E75"/>
    <w:rsid w:val="00321FE7"/>
    <w:rsid w:val="003258A5"/>
    <w:rsid w:val="00330146"/>
    <w:rsid w:val="003313A6"/>
    <w:rsid w:val="003361DA"/>
    <w:rsid w:val="003416B9"/>
    <w:rsid w:val="00341A61"/>
    <w:rsid w:val="00356B53"/>
    <w:rsid w:val="0036089C"/>
    <w:rsid w:val="00360EE7"/>
    <w:rsid w:val="0038138A"/>
    <w:rsid w:val="00383E33"/>
    <w:rsid w:val="00386837"/>
    <w:rsid w:val="00387D31"/>
    <w:rsid w:val="00392C23"/>
    <w:rsid w:val="003A1498"/>
    <w:rsid w:val="003A1636"/>
    <w:rsid w:val="003A46A6"/>
    <w:rsid w:val="003A6FA6"/>
    <w:rsid w:val="003B654E"/>
    <w:rsid w:val="003B6ED0"/>
    <w:rsid w:val="003D5EDE"/>
    <w:rsid w:val="0040169D"/>
    <w:rsid w:val="00407B94"/>
    <w:rsid w:val="00417E2E"/>
    <w:rsid w:val="00424139"/>
    <w:rsid w:val="00426753"/>
    <w:rsid w:val="00430520"/>
    <w:rsid w:val="004308A7"/>
    <w:rsid w:val="004322F7"/>
    <w:rsid w:val="00437174"/>
    <w:rsid w:val="00443B66"/>
    <w:rsid w:val="00453E31"/>
    <w:rsid w:val="004656E5"/>
    <w:rsid w:val="00490341"/>
    <w:rsid w:val="004954FF"/>
    <w:rsid w:val="00495B43"/>
    <w:rsid w:val="004A7483"/>
    <w:rsid w:val="004C2641"/>
    <w:rsid w:val="004C4A05"/>
    <w:rsid w:val="004E3826"/>
    <w:rsid w:val="004F006E"/>
    <w:rsid w:val="004F6761"/>
    <w:rsid w:val="00512BA1"/>
    <w:rsid w:val="005272F4"/>
    <w:rsid w:val="00546091"/>
    <w:rsid w:val="00554775"/>
    <w:rsid w:val="005709AD"/>
    <w:rsid w:val="00575EE7"/>
    <w:rsid w:val="00576FB1"/>
    <w:rsid w:val="005B4354"/>
    <w:rsid w:val="005E459F"/>
    <w:rsid w:val="005F7092"/>
    <w:rsid w:val="00606E33"/>
    <w:rsid w:val="00612625"/>
    <w:rsid w:val="006240A1"/>
    <w:rsid w:val="006361A8"/>
    <w:rsid w:val="00643A3E"/>
    <w:rsid w:val="00656105"/>
    <w:rsid w:val="00664160"/>
    <w:rsid w:val="00665730"/>
    <w:rsid w:val="00665DB7"/>
    <w:rsid w:val="00666076"/>
    <w:rsid w:val="006767A9"/>
    <w:rsid w:val="00686009"/>
    <w:rsid w:val="00690473"/>
    <w:rsid w:val="0069049A"/>
    <w:rsid w:val="00691C59"/>
    <w:rsid w:val="0069728D"/>
    <w:rsid w:val="006C535C"/>
    <w:rsid w:val="006C53AE"/>
    <w:rsid w:val="006C66F5"/>
    <w:rsid w:val="006C6941"/>
    <w:rsid w:val="006D53EE"/>
    <w:rsid w:val="006E0FC3"/>
    <w:rsid w:val="006E2FB7"/>
    <w:rsid w:val="006F00D6"/>
    <w:rsid w:val="007076E8"/>
    <w:rsid w:val="00712BBA"/>
    <w:rsid w:val="00737A7F"/>
    <w:rsid w:val="007400EE"/>
    <w:rsid w:val="007404EF"/>
    <w:rsid w:val="00753386"/>
    <w:rsid w:val="00761842"/>
    <w:rsid w:val="00765F37"/>
    <w:rsid w:val="007672E9"/>
    <w:rsid w:val="007770EA"/>
    <w:rsid w:val="00783B1B"/>
    <w:rsid w:val="007845AF"/>
    <w:rsid w:val="0078703E"/>
    <w:rsid w:val="00787B63"/>
    <w:rsid w:val="00796573"/>
    <w:rsid w:val="007B0946"/>
    <w:rsid w:val="007B661D"/>
    <w:rsid w:val="007C385E"/>
    <w:rsid w:val="007C75FF"/>
    <w:rsid w:val="007E1A5D"/>
    <w:rsid w:val="007F2EC4"/>
    <w:rsid w:val="00817630"/>
    <w:rsid w:val="00820102"/>
    <w:rsid w:val="00824E43"/>
    <w:rsid w:val="0082729C"/>
    <w:rsid w:val="008276D9"/>
    <w:rsid w:val="00842713"/>
    <w:rsid w:val="008465A8"/>
    <w:rsid w:val="00847281"/>
    <w:rsid w:val="00853ACC"/>
    <w:rsid w:val="00853D10"/>
    <w:rsid w:val="008605D8"/>
    <w:rsid w:val="00864A8E"/>
    <w:rsid w:val="008769EF"/>
    <w:rsid w:val="008775EA"/>
    <w:rsid w:val="008802FE"/>
    <w:rsid w:val="00883299"/>
    <w:rsid w:val="008855D2"/>
    <w:rsid w:val="0088693C"/>
    <w:rsid w:val="00891C5B"/>
    <w:rsid w:val="00897B0B"/>
    <w:rsid w:val="008A23C9"/>
    <w:rsid w:val="008A64DD"/>
    <w:rsid w:val="008A6712"/>
    <w:rsid w:val="008A73E6"/>
    <w:rsid w:val="008B0731"/>
    <w:rsid w:val="008C5BFE"/>
    <w:rsid w:val="008D003A"/>
    <w:rsid w:val="008D0D32"/>
    <w:rsid w:val="008D3F12"/>
    <w:rsid w:val="008E05C9"/>
    <w:rsid w:val="008E1BD5"/>
    <w:rsid w:val="008E4B99"/>
    <w:rsid w:val="008E60A4"/>
    <w:rsid w:val="008E7A27"/>
    <w:rsid w:val="008F448A"/>
    <w:rsid w:val="00901624"/>
    <w:rsid w:val="00902E07"/>
    <w:rsid w:val="00903BC6"/>
    <w:rsid w:val="00915408"/>
    <w:rsid w:val="00921287"/>
    <w:rsid w:val="0092191C"/>
    <w:rsid w:val="009255A6"/>
    <w:rsid w:val="009321B8"/>
    <w:rsid w:val="009336CE"/>
    <w:rsid w:val="00944C09"/>
    <w:rsid w:val="00960EE0"/>
    <w:rsid w:val="00964389"/>
    <w:rsid w:val="00964735"/>
    <w:rsid w:val="0096517A"/>
    <w:rsid w:val="00973968"/>
    <w:rsid w:val="009761E2"/>
    <w:rsid w:val="00976260"/>
    <w:rsid w:val="009767AE"/>
    <w:rsid w:val="00980AA1"/>
    <w:rsid w:val="009846FE"/>
    <w:rsid w:val="00986D24"/>
    <w:rsid w:val="00992A96"/>
    <w:rsid w:val="009A2B15"/>
    <w:rsid w:val="009A6A8E"/>
    <w:rsid w:val="009B3DEE"/>
    <w:rsid w:val="009D0101"/>
    <w:rsid w:val="009D255E"/>
    <w:rsid w:val="009E0B38"/>
    <w:rsid w:val="009F3A04"/>
    <w:rsid w:val="00A139B1"/>
    <w:rsid w:val="00A17E8B"/>
    <w:rsid w:val="00A22085"/>
    <w:rsid w:val="00A23EC9"/>
    <w:rsid w:val="00A31CBF"/>
    <w:rsid w:val="00A37345"/>
    <w:rsid w:val="00A40EAC"/>
    <w:rsid w:val="00A440A0"/>
    <w:rsid w:val="00A46894"/>
    <w:rsid w:val="00A5497F"/>
    <w:rsid w:val="00A5561A"/>
    <w:rsid w:val="00A63D1E"/>
    <w:rsid w:val="00A66549"/>
    <w:rsid w:val="00A72813"/>
    <w:rsid w:val="00A87BE0"/>
    <w:rsid w:val="00A95673"/>
    <w:rsid w:val="00A96325"/>
    <w:rsid w:val="00AA2D3E"/>
    <w:rsid w:val="00AB6554"/>
    <w:rsid w:val="00AC4F92"/>
    <w:rsid w:val="00AD54F8"/>
    <w:rsid w:val="00AE45A6"/>
    <w:rsid w:val="00AE769E"/>
    <w:rsid w:val="00AE78C5"/>
    <w:rsid w:val="00AF1A3B"/>
    <w:rsid w:val="00AF392E"/>
    <w:rsid w:val="00B03A29"/>
    <w:rsid w:val="00B118C0"/>
    <w:rsid w:val="00B120AE"/>
    <w:rsid w:val="00B1312C"/>
    <w:rsid w:val="00B22714"/>
    <w:rsid w:val="00B25572"/>
    <w:rsid w:val="00B34C4E"/>
    <w:rsid w:val="00B4194D"/>
    <w:rsid w:val="00B70870"/>
    <w:rsid w:val="00B70E9B"/>
    <w:rsid w:val="00B731AA"/>
    <w:rsid w:val="00B74E21"/>
    <w:rsid w:val="00B751FB"/>
    <w:rsid w:val="00B75410"/>
    <w:rsid w:val="00B929F4"/>
    <w:rsid w:val="00B939FB"/>
    <w:rsid w:val="00B940E1"/>
    <w:rsid w:val="00B94C42"/>
    <w:rsid w:val="00BB69B1"/>
    <w:rsid w:val="00BC7B18"/>
    <w:rsid w:val="00BE34BB"/>
    <w:rsid w:val="00BE7244"/>
    <w:rsid w:val="00BF0219"/>
    <w:rsid w:val="00BF7E92"/>
    <w:rsid w:val="00C11104"/>
    <w:rsid w:val="00C22A9A"/>
    <w:rsid w:val="00C26249"/>
    <w:rsid w:val="00C27667"/>
    <w:rsid w:val="00C36493"/>
    <w:rsid w:val="00C366EB"/>
    <w:rsid w:val="00C474F9"/>
    <w:rsid w:val="00C5315F"/>
    <w:rsid w:val="00C53437"/>
    <w:rsid w:val="00C62AFB"/>
    <w:rsid w:val="00C70194"/>
    <w:rsid w:val="00C709A7"/>
    <w:rsid w:val="00C70F97"/>
    <w:rsid w:val="00C76BAB"/>
    <w:rsid w:val="00C805B3"/>
    <w:rsid w:val="00C8647F"/>
    <w:rsid w:val="00C93F96"/>
    <w:rsid w:val="00CA527D"/>
    <w:rsid w:val="00CB0FCF"/>
    <w:rsid w:val="00CB432D"/>
    <w:rsid w:val="00CB76F5"/>
    <w:rsid w:val="00CC06A2"/>
    <w:rsid w:val="00CF2801"/>
    <w:rsid w:val="00D0286D"/>
    <w:rsid w:val="00D0658C"/>
    <w:rsid w:val="00D1082C"/>
    <w:rsid w:val="00D31699"/>
    <w:rsid w:val="00D5024C"/>
    <w:rsid w:val="00D5125D"/>
    <w:rsid w:val="00D515FE"/>
    <w:rsid w:val="00D63DB3"/>
    <w:rsid w:val="00D674CB"/>
    <w:rsid w:val="00D7046C"/>
    <w:rsid w:val="00D84D22"/>
    <w:rsid w:val="00D95836"/>
    <w:rsid w:val="00D96FAC"/>
    <w:rsid w:val="00DA3485"/>
    <w:rsid w:val="00DA3EB5"/>
    <w:rsid w:val="00DA60B8"/>
    <w:rsid w:val="00DB2486"/>
    <w:rsid w:val="00DC6EA9"/>
    <w:rsid w:val="00DC78CF"/>
    <w:rsid w:val="00DE569C"/>
    <w:rsid w:val="00DF1E09"/>
    <w:rsid w:val="00DF6CC3"/>
    <w:rsid w:val="00E01FE6"/>
    <w:rsid w:val="00E05BA3"/>
    <w:rsid w:val="00E21ACB"/>
    <w:rsid w:val="00E30AC2"/>
    <w:rsid w:val="00E315F2"/>
    <w:rsid w:val="00E357A3"/>
    <w:rsid w:val="00E37DB8"/>
    <w:rsid w:val="00E40C3C"/>
    <w:rsid w:val="00E42224"/>
    <w:rsid w:val="00E65576"/>
    <w:rsid w:val="00E770CB"/>
    <w:rsid w:val="00E80D5E"/>
    <w:rsid w:val="00E826FD"/>
    <w:rsid w:val="00E83AB9"/>
    <w:rsid w:val="00E9013D"/>
    <w:rsid w:val="00E9144B"/>
    <w:rsid w:val="00E9217A"/>
    <w:rsid w:val="00EA4F44"/>
    <w:rsid w:val="00EC1F57"/>
    <w:rsid w:val="00ED5AE2"/>
    <w:rsid w:val="00EE0E2C"/>
    <w:rsid w:val="00EE26C5"/>
    <w:rsid w:val="00EE43E5"/>
    <w:rsid w:val="00EF11CD"/>
    <w:rsid w:val="00EF2A5A"/>
    <w:rsid w:val="00F012F3"/>
    <w:rsid w:val="00F01BDA"/>
    <w:rsid w:val="00F02EC4"/>
    <w:rsid w:val="00F05634"/>
    <w:rsid w:val="00F27B3B"/>
    <w:rsid w:val="00F339E1"/>
    <w:rsid w:val="00F34CA0"/>
    <w:rsid w:val="00F47C5B"/>
    <w:rsid w:val="00F60EDE"/>
    <w:rsid w:val="00F6180C"/>
    <w:rsid w:val="00F61DD2"/>
    <w:rsid w:val="00F6357F"/>
    <w:rsid w:val="00F677E1"/>
    <w:rsid w:val="00F737D0"/>
    <w:rsid w:val="00F91E39"/>
    <w:rsid w:val="00F93E93"/>
    <w:rsid w:val="00FA24FF"/>
    <w:rsid w:val="00FA2D94"/>
    <w:rsid w:val="00FA4D85"/>
    <w:rsid w:val="00FC5936"/>
    <w:rsid w:val="00FC6CA1"/>
    <w:rsid w:val="00FD2093"/>
    <w:rsid w:val="00FD550B"/>
    <w:rsid w:val="00FE0ABE"/>
    <w:rsid w:val="00FF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35FF9"/>
  <w15:docId w15:val="{C450EE6D-3AFD-4B0E-856C-5DEC9CED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360"/>
      </w:tabs>
      <w:spacing w:before="6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qFormat/>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CommentReference">
    <w:name w:val="annotation reference"/>
    <w:basedOn w:val="DefaultParagraphFont"/>
    <w:semiHidden/>
    <w:rsid w:val="007672E9"/>
    <w:rPr>
      <w:sz w:val="16"/>
      <w:szCs w:val="16"/>
    </w:rPr>
  </w:style>
  <w:style w:type="paragraph" w:styleId="CommentSubject">
    <w:name w:val="annotation subject"/>
    <w:basedOn w:val="CommentText"/>
    <w:next w:val="CommentText"/>
    <w:semiHidden/>
    <w:rsid w:val="007672E9"/>
    <w:pPr>
      <w:widowControl/>
      <w:overflowPunct/>
      <w:autoSpaceDE/>
      <w:autoSpaceDN/>
      <w:adjustRightInd/>
      <w:spacing w:after="0"/>
      <w:textAlignment w:val="auto"/>
    </w:pPr>
    <w:rPr>
      <w:rFonts w:ascii="Arial" w:hAnsi="Arial"/>
      <w:b/>
      <w:bCs/>
      <w:lang w:val="en-US"/>
    </w:rPr>
  </w:style>
  <w:style w:type="paragraph" w:styleId="NormalWeb">
    <w:name w:val="Normal (Web)"/>
    <w:basedOn w:val="Normal"/>
    <w:uiPriority w:val="99"/>
    <w:unhideWhenUsed/>
    <w:rsid w:val="00AE76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9145">
      <w:bodyDiv w:val="1"/>
      <w:marLeft w:val="0"/>
      <w:marRight w:val="0"/>
      <w:marTop w:val="0"/>
      <w:marBottom w:val="0"/>
      <w:divBdr>
        <w:top w:val="none" w:sz="0" w:space="0" w:color="auto"/>
        <w:left w:val="none" w:sz="0" w:space="0" w:color="auto"/>
        <w:bottom w:val="none" w:sz="0" w:space="0" w:color="auto"/>
        <w:right w:val="none" w:sz="0" w:space="0" w:color="auto"/>
      </w:divBdr>
      <w:divsChild>
        <w:div w:id="1900363917">
          <w:marLeft w:val="0"/>
          <w:marRight w:val="0"/>
          <w:marTop w:val="0"/>
          <w:marBottom w:val="0"/>
          <w:divBdr>
            <w:top w:val="none" w:sz="0" w:space="0" w:color="auto"/>
            <w:left w:val="none" w:sz="0" w:space="0" w:color="auto"/>
            <w:bottom w:val="none" w:sz="0" w:space="0" w:color="auto"/>
            <w:right w:val="none" w:sz="0" w:space="0" w:color="auto"/>
          </w:divBdr>
          <w:divsChild>
            <w:div w:id="473523827">
              <w:marLeft w:val="0"/>
              <w:marRight w:val="0"/>
              <w:marTop w:val="0"/>
              <w:marBottom w:val="0"/>
              <w:divBdr>
                <w:top w:val="none" w:sz="0" w:space="0" w:color="auto"/>
                <w:left w:val="none" w:sz="0" w:space="0" w:color="auto"/>
                <w:bottom w:val="none" w:sz="0" w:space="0" w:color="auto"/>
                <w:right w:val="none" w:sz="0" w:space="0" w:color="auto"/>
              </w:divBdr>
              <w:divsChild>
                <w:div w:id="524295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78800555">
      <w:bodyDiv w:val="1"/>
      <w:marLeft w:val="0"/>
      <w:marRight w:val="0"/>
      <w:marTop w:val="0"/>
      <w:marBottom w:val="0"/>
      <w:divBdr>
        <w:top w:val="none" w:sz="0" w:space="0" w:color="auto"/>
        <w:left w:val="none" w:sz="0" w:space="0" w:color="auto"/>
        <w:bottom w:val="none" w:sz="0" w:space="0" w:color="auto"/>
        <w:right w:val="none" w:sz="0" w:space="0" w:color="auto"/>
      </w:divBdr>
      <w:divsChild>
        <w:div w:id="1502348922">
          <w:marLeft w:val="0"/>
          <w:marRight w:val="0"/>
          <w:marTop w:val="0"/>
          <w:marBottom w:val="0"/>
          <w:divBdr>
            <w:top w:val="none" w:sz="0" w:space="0" w:color="auto"/>
            <w:left w:val="none" w:sz="0" w:space="0" w:color="auto"/>
            <w:bottom w:val="none" w:sz="0" w:space="0" w:color="auto"/>
            <w:right w:val="none" w:sz="0" w:space="0" w:color="auto"/>
          </w:divBdr>
          <w:divsChild>
            <w:div w:id="296498812">
              <w:marLeft w:val="0"/>
              <w:marRight w:val="0"/>
              <w:marTop w:val="0"/>
              <w:marBottom w:val="0"/>
              <w:divBdr>
                <w:top w:val="none" w:sz="0" w:space="0" w:color="auto"/>
                <w:left w:val="none" w:sz="0" w:space="0" w:color="auto"/>
                <w:bottom w:val="none" w:sz="0" w:space="0" w:color="auto"/>
                <w:right w:val="none" w:sz="0" w:space="0" w:color="auto"/>
              </w:divBdr>
              <w:divsChild>
                <w:div w:id="145616956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86307804">
      <w:bodyDiv w:val="1"/>
      <w:marLeft w:val="0"/>
      <w:marRight w:val="0"/>
      <w:marTop w:val="0"/>
      <w:marBottom w:val="0"/>
      <w:divBdr>
        <w:top w:val="none" w:sz="0" w:space="0" w:color="auto"/>
        <w:left w:val="none" w:sz="0" w:space="0" w:color="auto"/>
        <w:bottom w:val="none" w:sz="0" w:space="0" w:color="auto"/>
        <w:right w:val="none" w:sz="0" w:space="0" w:color="auto"/>
      </w:divBdr>
      <w:divsChild>
        <w:div w:id="359548785">
          <w:marLeft w:val="0"/>
          <w:marRight w:val="0"/>
          <w:marTop w:val="0"/>
          <w:marBottom w:val="0"/>
          <w:divBdr>
            <w:top w:val="none" w:sz="0" w:space="0" w:color="auto"/>
            <w:left w:val="none" w:sz="0" w:space="0" w:color="auto"/>
            <w:bottom w:val="none" w:sz="0" w:space="0" w:color="auto"/>
            <w:right w:val="none" w:sz="0" w:space="0" w:color="auto"/>
          </w:divBdr>
          <w:divsChild>
            <w:div w:id="236743858">
              <w:marLeft w:val="0"/>
              <w:marRight w:val="0"/>
              <w:marTop w:val="0"/>
              <w:marBottom w:val="0"/>
              <w:divBdr>
                <w:top w:val="none" w:sz="0" w:space="0" w:color="auto"/>
                <w:left w:val="none" w:sz="0" w:space="0" w:color="auto"/>
                <w:bottom w:val="none" w:sz="0" w:space="0" w:color="auto"/>
                <w:right w:val="none" w:sz="0" w:space="0" w:color="auto"/>
              </w:divBdr>
              <w:divsChild>
                <w:div w:id="204212360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12626881">
      <w:bodyDiv w:val="1"/>
      <w:marLeft w:val="0"/>
      <w:marRight w:val="0"/>
      <w:marTop w:val="0"/>
      <w:marBottom w:val="0"/>
      <w:divBdr>
        <w:top w:val="none" w:sz="0" w:space="0" w:color="auto"/>
        <w:left w:val="none" w:sz="0" w:space="0" w:color="auto"/>
        <w:bottom w:val="none" w:sz="0" w:space="0" w:color="auto"/>
        <w:right w:val="none" w:sz="0" w:space="0" w:color="auto"/>
      </w:divBdr>
      <w:divsChild>
        <w:div w:id="1427384379">
          <w:marLeft w:val="0"/>
          <w:marRight w:val="0"/>
          <w:marTop w:val="0"/>
          <w:marBottom w:val="0"/>
          <w:divBdr>
            <w:top w:val="none" w:sz="0" w:space="0" w:color="auto"/>
            <w:left w:val="none" w:sz="0" w:space="0" w:color="auto"/>
            <w:bottom w:val="none" w:sz="0" w:space="0" w:color="auto"/>
            <w:right w:val="none" w:sz="0" w:space="0" w:color="auto"/>
          </w:divBdr>
          <w:divsChild>
            <w:div w:id="627902723">
              <w:marLeft w:val="0"/>
              <w:marRight w:val="0"/>
              <w:marTop w:val="0"/>
              <w:marBottom w:val="0"/>
              <w:divBdr>
                <w:top w:val="none" w:sz="0" w:space="0" w:color="auto"/>
                <w:left w:val="none" w:sz="0" w:space="0" w:color="auto"/>
                <w:bottom w:val="none" w:sz="0" w:space="0" w:color="auto"/>
                <w:right w:val="none" w:sz="0" w:space="0" w:color="auto"/>
              </w:divBdr>
              <w:divsChild>
                <w:div w:id="160264692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spence\AppData\Roaming\Microsoft\Templates\Project%20initiation%20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F75C4-7E1D-4C0E-9952-7EDE815C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checklist.dot</Template>
  <TotalTime>4</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 Kelly</dc:creator>
  <cp:lastModifiedBy>Cameron</cp:lastModifiedBy>
  <cp:revision>2</cp:revision>
  <cp:lastPrinted>2015-03-26T15:03:00Z</cp:lastPrinted>
  <dcterms:created xsi:type="dcterms:W3CDTF">2024-08-21T11:00:00Z</dcterms:created>
  <dcterms:modified xsi:type="dcterms:W3CDTF">2024-08-21T11:00:00Z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TC011414121033</vt:lpwstr>
  </property>
</Properties>
</file>