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6442" w14:textId="5D742986" w:rsidR="001E67DF" w:rsidRDefault="005F6AD8">
      <w:pPr>
        <w:spacing w:line="259" w:lineRule="auto"/>
        <w:ind w:left="0" w:firstLine="0"/>
      </w:pPr>
      <w:r>
        <w:rPr>
          <w:b/>
          <w:color w:val="2C3E50"/>
          <w:sz w:val="44"/>
        </w:rPr>
        <w:t>Introduction to SOAR</w:t>
      </w:r>
      <w:r w:rsidR="000D1B55">
        <w:rPr>
          <w:b/>
          <w:color w:val="2C3E50"/>
          <w:sz w:val="44"/>
        </w:rPr>
        <w:t xml:space="preserve"> - Lab Report</w:t>
      </w:r>
    </w:p>
    <w:p w14:paraId="3DFC132A" w14:textId="77777777" w:rsidR="001E67DF" w:rsidRDefault="00000000">
      <w:pPr>
        <w:spacing w:after="700" w:line="259" w:lineRule="auto"/>
        <w:ind w:left="0" w:right="-60" w:firstLine="0"/>
      </w:pPr>
      <w:r>
        <w:rPr>
          <w:noProof/>
          <w:color w:val="000000"/>
          <w:sz w:val="22"/>
        </w:rPr>
        <mc:AlternateContent>
          <mc:Choice Requires="wpg">
            <w:drawing>
              <wp:inline distT="0" distB="0" distL="0" distR="0" wp14:anchorId="5A2A5AD9" wp14:editId="25EC158B">
                <wp:extent cx="6120000" cy="19050"/>
                <wp:effectExtent l="0" t="0" r="0" b="0"/>
                <wp:docPr id="1635" name="Group 1635"/>
                <wp:cNvGraphicFramePr/>
                <a:graphic xmlns:a="http://schemas.openxmlformats.org/drawingml/2006/main">
                  <a:graphicData uri="http://schemas.microsoft.com/office/word/2010/wordprocessingGroup">
                    <wpg:wgp>
                      <wpg:cNvGrpSpPr/>
                      <wpg:grpSpPr>
                        <a:xfrm>
                          <a:off x="0" y="0"/>
                          <a:ext cx="6120000" cy="19050"/>
                          <a:chOff x="0" y="0"/>
                          <a:chExt cx="6120000" cy="19050"/>
                        </a:xfrm>
                      </wpg:grpSpPr>
                      <wps:wsp>
                        <wps:cNvPr id="1868" name="Shape 1868"/>
                        <wps:cNvSpPr/>
                        <wps:spPr>
                          <a:xfrm>
                            <a:off x="0" y="0"/>
                            <a:ext cx="6120000" cy="19050"/>
                          </a:xfrm>
                          <a:custGeom>
                            <a:avLst/>
                            <a:gdLst/>
                            <a:ahLst/>
                            <a:cxnLst/>
                            <a:rect l="0" t="0" r="0" b="0"/>
                            <a:pathLst>
                              <a:path w="6120000" h="19050">
                                <a:moveTo>
                                  <a:pt x="0" y="0"/>
                                </a:moveTo>
                                <a:lnTo>
                                  <a:pt x="6120000" y="0"/>
                                </a:lnTo>
                                <a:lnTo>
                                  <a:pt x="6120000" y="19050"/>
                                </a:lnTo>
                                <a:lnTo>
                                  <a:pt x="0" y="19050"/>
                                </a:lnTo>
                                <a:lnTo>
                                  <a:pt x="0" y="0"/>
                                </a:lnTo>
                              </a:path>
                            </a:pathLst>
                          </a:custGeom>
                          <a:ln w="0" cap="flat">
                            <a:miter lim="127000"/>
                          </a:ln>
                        </wps:spPr>
                        <wps:style>
                          <a:lnRef idx="0">
                            <a:srgbClr val="000000">
                              <a:alpha val="0"/>
                            </a:srgbClr>
                          </a:lnRef>
                          <a:fillRef idx="1">
                            <a:srgbClr val="2C3E50"/>
                          </a:fillRef>
                          <a:effectRef idx="0">
                            <a:scrgbClr r="0" g="0" b="0"/>
                          </a:effectRef>
                          <a:fontRef idx="none"/>
                        </wps:style>
                        <wps:bodyPr/>
                      </wps:wsp>
                      <wps:wsp>
                        <wps:cNvPr id="9" name="Shape 9"/>
                        <wps:cNvSpPr/>
                        <wps:spPr>
                          <a:xfrm>
                            <a:off x="0" y="0"/>
                            <a:ext cx="0" cy="0"/>
                          </a:xfrm>
                          <a:custGeom>
                            <a:avLst/>
                            <a:gdLst/>
                            <a:ahLst/>
                            <a:cxnLst/>
                            <a:rect l="0" t="0" r="0" b="0"/>
                            <a:pathLst>
                              <a:path>
                                <a:moveTo>
                                  <a:pt x="0" y="0"/>
                                </a:moveTo>
                                <a:lnTo>
                                  <a:pt x="0" y="0"/>
                                </a:lnTo>
                                <a:close/>
                              </a:path>
                            </a:pathLst>
                          </a:custGeom>
                          <a:ln w="0" cap="flat">
                            <a:miter lim="127000"/>
                          </a:ln>
                        </wps:spPr>
                        <wps:style>
                          <a:lnRef idx="0">
                            <a:srgbClr val="000000">
                              <a:alpha val="0"/>
                            </a:srgbClr>
                          </a:lnRef>
                          <a:fillRef idx="1">
                            <a:srgbClr val="2C3E50"/>
                          </a:fillRef>
                          <a:effectRef idx="0">
                            <a:scrgbClr r="0" g="0" b="0"/>
                          </a:effectRef>
                          <a:fontRef idx="none"/>
                        </wps:style>
                        <wps:bodyPr/>
                      </wps:wsp>
                    </wpg:wgp>
                  </a:graphicData>
                </a:graphic>
              </wp:inline>
            </w:drawing>
          </mc:Choice>
          <mc:Fallback xmlns:a="http://schemas.openxmlformats.org/drawingml/2006/main">
            <w:pict>
              <v:group id="Group 1635" style="width:481.89pt;height:1.5pt;mso-position-horizontal-relative:char;mso-position-vertical-relative:line" coordsize="61200,190">
                <v:shape id="Shape 1869" style="position:absolute;width:61200;height:190;left:0;top:0;" coordsize="6120000,19050" path="m0,0l6120000,0l6120000,19050l0,19050l0,0">
                  <v:stroke weight="0pt" endcap="flat" joinstyle="miter" miterlimit="10" on="false" color="#000000" opacity="0"/>
                  <v:fill on="true" color="#2c3e50"/>
                </v:shape>
                <v:shape id="Shape 9" style="position:absolute;width:0;height:0;left:0;top:0;" coordsize="0,0" path="m0,0l0,0x">
                  <v:stroke weight="0pt" endcap="flat" joinstyle="miter" miterlimit="10" on="false" color="#000000" opacity="0"/>
                  <v:fill on="true" color="#2c3e50"/>
                </v:shape>
              </v:group>
            </w:pict>
          </mc:Fallback>
        </mc:AlternateContent>
      </w:r>
    </w:p>
    <w:p w14:paraId="0A780E46" w14:textId="46831AF8" w:rsidR="001E67DF" w:rsidRDefault="00000000">
      <w:pPr>
        <w:pBdr>
          <w:left w:val="single" w:sz="30" w:space="0" w:color="3498DB"/>
        </w:pBdr>
        <w:shd w:val="clear" w:color="auto" w:fill="F8F9FA"/>
        <w:spacing w:after="137"/>
        <w:ind w:left="295"/>
      </w:pPr>
      <w:r>
        <w:rPr>
          <w:b/>
        </w:rPr>
        <w:t xml:space="preserve">Date: </w:t>
      </w:r>
      <w:r w:rsidR="005830A5">
        <w:rPr>
          <w:b/>
        </w:rPr>
        <w:t>20</w:t>
      </w:r>
      <w:r w:rsidR="00D10606">
        <w:rPr>
          <w:b/>
        </w:rPr>
        <w:t>/0</w:t>
      </w:r>
      <w:r w:rsidR="005F6AD8">
        <w:rPr>
          <w:b/>
        </w:rPr>
        <w:t>8</w:t>
      </w:r>
      <w:r w:rsidR="00D10606">
        <w:rPr>
          <w:b/>
        </w:rPr>
        <w:t>/2026</w:t>
      </w:r>
    </w:p>
    <w:p w14:paraId="3AC84901" w14:textId="35BBC449" w:rsidR="001E67DF" w:rsidRDefault="00000000">
      <w:pPr>
        <w:pBdr>
          <w:left w:val="single" w:sz="30" w:space="0" w:color="3498DB"/>
        </w:pBdr>
        <w:shd w:val="clear" w:color="auto" w:fill="F8F9FA"/>
        <w:spacing w:after="137"/>
        <w:ind w:left="295"/>
      </w:pPr>
      <w:r>
        <w:rPr>
          <w:b/>
        </w:rPr>
        <w:t xml:space="preserve">Difficulty: </w:t>
      </w:r>
      <w:r w:rsidR="005F6AD8">
        <w:rPr>
          <w:b/>
        </w:rPr>
        <w:t>Medium</w:t>
      </w:r>
    </w:p>
    <w:p w14:paraId="30A58055" w14:textId="1187CC74" w:rsidR="001E67DF" w:rsidRDefault="00000000">
      <w:pPr>
        <w:pBdr>
          <w:left w:val="single" w:sz="30" w:space="0" w:color="3498DB"/>
        </w:pBdr>
        <w:shd w:val="clear" w:color="auto" w:fill="F8F9FA"/>
        <w:spacing w:after="137"/>
        <w:ind w:left="295"/>
      </w:pPr>
      <w:r>
        <w:rPr>
          <w:b/>
        </w:rPr>
        <w:t xml:space="preserve">Category: </w:t>
      </w:r>
      <w:r w:rsidR="005F6AD8">
        <w:rPr>
          <w:b/>
        </w:rPr>
        <w:t>Core SOC Solutions</w:t>
      </w:r>
    </w:p>
    <w:p w14:paraId="583915F8" w14:textId="77777777" w:rsidR="001E67DF" w:rsidRDefault="00000000">
      <w:pPr>
        <w:pBdr>
          <w:left w:val="single" w:sz="30" w:space="0" w:color="3498DB"/>
        </w:pBdr>
        <w:shd w:val="clear" w:color="auto" w:fill="F8F9FA"/>
        <w:spacing w:after="949"/>
        <w:ind w:left="295"/>
      </w:pPr>
      <w:r>
        <w:rPr>
          <w:b/>
        </w:rPr>
        <w:t xml:space="preserve">Platform: </w:t>
      </w:r>
      <w:proofErr w:type="spellStart"/>
      <w:r>
        <w:rPr>
          <w:b/>
        </w:rPr>
        <w:t>TryHackMe</w:t>
      </w:r>
      <w:proofErr w:type="spellEnd"/>
    </w:p>
    <w:p w14:paraId="210CA3D0" w14:textId="21D3DBF7" w:rsidR="001E67DF" w:rsidRDefault="000D1B55" w:rsidP="004F1182">
      <w:pPr>
        <w:pStyle w:val="Heading1"/>
        <w:numPr>
          <w:ilvl w:val="0"/>
          <w:numId w:val="3"/>
        </w:numPr>
      </w:pPr>
      <w:r>
        <w:t>Overview</w:t>
      </w:r>
    </w:p>
    <w:p w14:paraId="5C1EBA09" w14:textId="77777777" w:rsidR="004F1182" w:rsidRDefault="004F1182" w:rsidP="004F1182"/>
    <w:p w14:paraId="59B5C5EE" w14:textId="491F12A5" w:rsidR="004F1182" w:rsidRPr="004F1182" w:rsidRDefault="004F1182" w:rsidP="004F1182">
      <w:r>
        <w:t xml:space="preserve">This lab </w:t>
      </w:r>
      <w:r w:rsidR="005830A5">
        <w:t xml:space="preserve">overviews what a SOAR (Security Orchestration, Automation and Response) tool is and how it helps SOC teams to reduce challenges such as alert fatigue. It also introduces Playbooks and how they can be used to automate investigations and remediations to help analysts. </w:t>
      </w:r>
    </w:p>
    <w:p w14:paraId="5A1D4D0F" w14:textId="481B1C5B" w:rsidR="00F96E69" w:rsidRDefault="00000000" w:rsidP="005830A5">
      <w:pPr>
        <w:spacing w:after="399" w:line="259" w:lineRule="auto"/>
        <w:ind w:left="0" w:right="-60" w:firstLine="0"/>
      </w:pPr>
      <w:r>
        <w:rPr>
          <w:noProof/>
          <w:color w:val="000000"/>
          <w:sz w:val="22"/>
        </w:rPr>
        <mc:AlternateContent>
          <mc:Choice Requires="wpg">
            <w:drawing>
              <wp:inline distT="0" distB="0" distL="0" distR="0" wp14:anchorId="6D033FBF" wp14:editId="30B182D1">
                <wp:extent cx="6120000" cy="9525"/>
                <wp:effectExtent l="0" t="0" r="0" b="0"/>
                <wp:docPr id="1636" name="Group 1636"/>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0" name="Shape 1870"/>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6" style="width:481.89pt;height:0.75pt;mso-position-horizontal-relative:char;mso-position-vertical-relative:line" coordsize="61200,95">
                <v:shape id="Shape 1871"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038BEDE7" w14:textId="77777777" w:rsidR="00F96E69" w:rsidRPr="00F96E69" w:rsidRDefault="00F96E69" w:rsidP="00F96E69"/>
    <w:p w14:paraId="22431951" w14:textId="25FB059B" w:rsidR="001E67DF" w:rsidRDefault="005F6AD8">
      <w:pPr>
        <w:pStyle w:val="Heading1"/>
        <w:ind w:left="-5"/>
      </w:pPr>
      <w:r>
        <w:t xml:space="preserve">2. </w:t>
      </w:r>
      <w:r w:rsidR="000D1B55">
        <w:t xml:space="preserve">What </w:t>
      </w:r>
      <w:r w:rsidR="004F1182">
        <w:t>I did</w:t>
      </w:r>
    </w:p>
    <w:p w14:paraId="7CD6C678" w14:textId="77777777" w:rsidR="004F1182" w:rsidRDefault="004F1182" w:rsidP="004F1182"/>
    <w:p w14:paraId="2D48B053" w14:textId="7FDA212A" w:rsidR="002E668C" w:rsidRDefault="00385090" w:rsidP="00A80858">
      <w:pPr>
        <w:ind w:left="0" w:firstLine="0"/>
      </w:pPr>
      <w:r>
        <w:t xml:space="preserve">In typical SOC teams there are various capabilities of a SOC such as monitoring and detection, recovery and remediation, threat intelligence and communication with management and IT teams. However, there are also challenges faced by SOC teams such as alert fatigue, too many disconnected tools, manual processes and a talent shortage. This is where SOAR – Security Orchestration, Automation and Response tool is beneficial to a SOC team. It means analysts don’t need to switch between SIEM, EDR and Firewalls as they can operate them all from within a single SOAR interface. It also adds ticketing and case management features so that incidents can be documented and fixed in a structured way. </w:t>
      </w:r>
    </w:p>
    <w:p w14:paraId="5B2E39D1" w14:textId="77777777" w:rsidR="00385090" w:rsidRDefault="00385090" w:rsidP="00A80858">
      <w:pPr>
        <w:ind w:left="0" w:firstLine="0"/>
      </w:pPr>
    </w:p>
    <w:p w14:paraId="46F790E0" w14:textId="5188ECF4" w:rsidR="00385090" w:rsidRDefault="00385090" w:rsidP="00A80858">
      <w:pPr>
        <w:ind w:left="0" w:firstLine="0"/>
      </w:pPr>
      <w:r>
        <w:t xml:space="preserve">Orchestration stops the manual switching between tools such as SIEM to threat intelligence tool to ticketing system which saves time as all these tools are within the SOAR. It defines workflows for investigating types of alerts which are known as playbooks. Automation means no more manual clicks for analysts as it will follow the playbooks itself by automatically </w:t>
      </w:r>
      <w:r w:rsidR="009E3CF5">
        <w:t xml:space="preserve">checking and verifying key details in the playbook which saves so much time and allows analysts to handle hundreds of alerts without burning out. Response can also be automated by following the playbook to block an IP or disable a user and open a ticket with the details. However, SOC analysts are still needed as SOAR can’t give a judgement call for critical points or understand threats in a business sense. </w:t>
      </w:r>
    </w:p>
    <w:p w14:paraId="034C4EAD" w14:textId="77777777" w:rsidR="009E3CF5" w:rsidRDefault="009E3CF5" w:rsidP="00A80858">
      <w:pPr>
        <w:ind w:left="0" w:firstLine="0"/>
      </w:pPr>
    </w:p>
    <w:p w14:paraId="00E067EC" w14:textId="77777777" w:rsidR="00E473B6" w:rsidRDefault="00E473B6" w:rsidP="00A80858">
      <w:pPr>
        <w:ind w:left="0" w:firstLine="0"/>
      </w:pPr>
    </w:p>
    <w:p w14:paraId="50FFAFCD" w14:textId="77777777" w:rsidR="00E473B6" w:rsidRDefault="00E473B6" w:rsidP="00A80858">
      <w:pPr>
        <w:ind w:left="0" w:firstLine="0"/>
      </w:pPr>
    </w:p>
    <w:p w14:paraId="507AD5AF" w14:textId="1342E151" w:rsidR="009E3CF5" w:rsidRPr="000A2D75" w:rsidRDefault="00E473B6" w:rsidP="00A80858">
      <w:pPr>
        <w:ind w:left="0" w:firstLine="0"/>
        <w:rPr>
          <w:b/>
          <w:bCs/>
        </w:rPr>
      </w:pPr>
      <w:r w:rsidRPr="000A2D75">
        <w:rPr>
          <w:b/>
          <w:bCs/>
        </w:rPr>
        <w:t>Playbook Examples:</w:t>
      </w:r>
    </w:p>
    <w:p w14:paraId="004E4577" w14:textId="77777777" w:rsidR="00E473B6" w:rsidRDefault="00E473B6" w:rsidP="00A80858">
      <w:pPr>
        <w:ind w:left="0" w:firstLine="0"/>
      </w:pPr>
    </w:p>
    <w:p w14:paraId="00CB8FCD" w14:textId="184530E4" w:rsidR="00E473B6" w:rsidRDefault="00E473B6" w:rsidP="00E473B6">
      <w:pPr>
        <w:pStyle w:val="ListParagraph"/>
        <w:numPr>
          <w:ilvl w:val="0"/>
          <w:numId w:val="5"/>
        </w:numPr>
      </w:pPr>
      <w:r w:rsidRPr="000A2D75">
        <w:rPr>
          <w:b/>
          <w:bCs/>
        </w:rPr>
        <w:t>Phishing Playbook</w:t>
      </w:r>
      <w:r>
        <w:t xml:space="preserve"> </w:t>
      </w:r>
      <w:r w:rsidR="000A2D75">
        <w:t>–</w:t>
      </w:r>
      <w:r>
        <w:t xml:space="preserve"> </w:t>
      </w:r>
      <w:r w:rsidR="000A2D75">
        <w:t xml:space="preserve">Investigating phishing is very time consuming to manually analyse attachments and URLs. SOAR can do this in the background and perform remediation when a positive phishing email is found. THM’s playbook example is below which shows a flow diagram of what to do based on certain conditions. </w:t>
      </w:r>
    </w:p>
    <w:p w14:paraId="63966F57" w14:textId="77777777" w:rsidR="000A2D75" w:rsidRDefault="000A2D75" w:rsidP="000A2D75">
      <w:pPr>
        <w:pStyle w:val="ListParagraph"/>
        <w:ind w:firstLine="0"/>
      </w:pPr>
    </w:p>
    <w:p w14:paraId="6664DE42" w14:textId="3C46E41B" w:rsidR="000A2D75" w:rsidRDefault="000A2D75" w:rsidP="000A2D75">
      <w:r>
        <w:rPr>
          <w:noProof/>
        </w:rPr>
        <w:drawing>
          <wp:inline distT="0" distB="0" distL="0" distR="0" wp14:anchorId="3778D3BC" wp14:editId="62E8F06C">
            <wp:extent cx="4618990" cy="3672816"/>
            <wp:effectExtent l="0" t="0" r="0" b="4445"/>
            <wp:docPr id="566702804" name="Picture 5" descr="Flowchart showing the process of automating a phishing workflow using a SOAR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wchart showing the process of automating a phishing workflow using a SOAR solut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25829" cy="3678254"/>
                    </a:xfrm>
                    <a:prstGeom prst="rect">
                      <a:avLst/>
                    </a:prstGeom>
                    <a:noFill/>
                    <a:ln>
                      <a:noFill/>
                    </a:ln>
                  </pic:spPr>
                </pic:pic>
              </a:graphicData>
            </a:graphic>
          </wp:inline>
        </w:drawing>
      </w:r>
    </w:p>
    <w:p w14:paraId="61D3B0B5" w14:textId="77777777" w:rsidR="000A2D75" w:rsidRDefault="000A2D75" w:rsidP="000A2D75"/>
    <w:p w14:paraId="528A3DF2" w14:textId="6196BA59" w:rsidR="000A2D75" w:rsidRDefault="000A2D75" w:rsidP="000A2D75">
      <w:pPr>
        <w:pStyle w:val="ListParagraph"/>
        <w:numPr>
          <w:ilvl w:val="0"/>
          <w:numId w:val="5"/>
        </w:numPr>
      </w:pPr>
      <w:r w:rsidRPr="000A2D75">
        <w:rPr>
          <w:b/>
          <w:bCs/>
        </w:rPr>
        <w:t>CVE Patching Playbook</w:t>
      </w:r>
      <w:r>
        <w:t xml:space="preserve"> – Analysts typically would need to look at new CVEs and remediation plans which can become draining and time consuming. The playbook for this involves analysing the CVE details, assessing the risk, creating a ticket and testing the patch before deployment. </w:t>
      </w:r>
    </w:p>
    <w:p w14:paraId="063822F1" w14:textId="77777777" w:rsidR="000A2D75" w:rsidRDefault="000A2D75" w:rsidP="000A2D75"/>
    <w:p w14:paraId="4BA43FAF" w14:textId="77777777" w:rsidR="002E668C" w:rsidRDefault="002E668C" w:rsidP="007E52AF">
      <w:pPr>
        <w:ind w:left="0" w:firstLine="0"/>
      </w:pPr>
    </w:p>
    <w:p w14:paraId="6BDAAE58" w14:textId="77777777" w:rsidR="00F96E69" w:rsidRDefault="00F96E69" w:rsidP="004F1182"/>
    <w:p w14:paraId="54F83B9A" w14:textId="2FBA4DD3" w:rsidR="004F1182" w:rsidRDefault="005F6AD8" w:rsidP="004F1182">
      <w:pPr>
        <w:pStyle w:val="Heading1"/>
      </w:pPr>
      <w:r>
        <w:t>3</w:t>
      </w:r>
      <w:r w:rsidR="004F1182">
        <w:t>. What I’ve learned</w:t>
      </w:r>
    </w:p>
    <w:p w14:paraId="44070D79" w14:textId="77777777" w:rsidR="002E668C" w:rsidRDefault="002E668C" w:rsidP="002E668C"/>
    <w:p w14:paraId="6074A068" w14:textId="3409D43B" w:rsidR="002E668C" w:rsidRDefault="00326BC7" w:rsidP="005F6AD8">
      <w:pPr>
        <w:pStyle w:val="ListParagraph"/>
        <w:numPr>
          <w:ilvl w:val="0"/>
          <w:numId w:val="4"/>
        </w:numPr>
      </w:pPr>
      <w:r>
        <w:t>Traditional SOC challenges</w:t>
      </w:r>
    </w:p>
    <w:p w14:paraId="743207D2" w14:textId="58E807B3" w:rsidR="00326BC7" w:rsidRDefault="00326BC7" w:rsidP="005F6AD8">
      <w:pPr>
        <w:pStyle w:val="ListParagraph"/>
        <w:numPr>
          <w:ilvl w:val="0"/>
          <w:numId w:val="4"/>
        </w:numPr>
      </w:pPr>
      <w:r>
        <w:t>What SOAR is</w:t>
      </w:r>
    </w:p>
    <w:p w14:paraId="31248990" w14:textId="7C63C734" w:rsidR="00326BC7" w:rsidRDefault="00326BC7" w:rsidP="005F6AD8">
      <w:pPr>
        <w:pStyle w:val="ListParagraph"/>
        <w:numPr>
          <w:ilvl w:val="0"/>
          <w:numId w:val="4"/>
        </w:numPr>
      </w:pPr>
      <w:r>
        <w:t>How SOAR works</w:t>
      </w:r>
    </w:p>
    <w:p w14:paraId="546CEF31" w14:textId="7B6CE5AD" w:rsidR="00326BC7" w:rsidRPr="002E668C" w:rsidRDefault="00326BC7" w:rsidP="005F6AD8">
      <w:pPr>
        <w:pStyle w:val="ListParagraph"/>
        <w:numPr>
          <w:ilvl w:val="0"/>
          <w:numId w:val="4"/>
        </w:numPr>
      </w:pPr>
      <w:r>
        <w:t>What Playbooks are and how they can be used</w:t>
      </w:r>
    </w:p>
    <w:p w14:paraId="032F0EF9" w14:textId="77777777" w:rsidR="001E67DF" w:rsidRDefault="00000000">
      <w:pPr>
        <w:spacing w:after="416" w:line="259" w:lineRule="auto"/>
        <w:ind w:left="0" w:right="-60" w:firstLine="0"/>
      </w:pPr>
      <w:r>
        <w:rPr>
          <w:noProof/>
          <w:color w:val="000000"/>
          <w:sz w:val="22"/>
        </w:rPr>
        <mc:AlternateContent>
          <mc:Choice Requires="wpg">
            <w:drawing>
              <wp:inline distT="0" distB="0" distL="0" distR="0" wp14:anchorId="149184F1" wp14:editId="2DA5D37D">
                <wp:extent cx="6120000" cy="9525"/>
                <wp:effectExtent l="0" t="0" r="0" b="0"/>
                <wp:docPr id="1638" name="Group 1638"/>
                <wp:cNvGraphicFramePr/>
                <a:graphic xmlns:a="http://schemas.openxmlformats.org/drawingml/2006/main">
                  <a:graphicData uri="http://schemas.microsoft.com/office/word/2010/wordprocessingGroup">
                    <wpg:wgp>
                      <wpg:cNvGrpSpPr/>
                      <wpg:grpSpPr>
                        <a:xfrm>
                          <a:off x="0" y="0"/>
                          <a:ext cx="6120000" cy="9525"/>
                          <a:chOff x="0" y="0"/>
                          <a:chExt cx="6120000" cy="9525"/>
                        </a:xfrm>
                      </wpg:grpSpPr>
                      <wps:wsp>
                        <wps:cNvPr id="1874" name="Shape 1874"/>
                        <wps:cNvSpPr/>
                        <wps:spPr>
                          <a:xfrm>
                            <a:off x="0" y="0"/>
                            <a:ext cx="6120000" cy="9525"/>
                          </a:xfrm>
                          <a:custGeom>
                            <a:avLst/>
                            <a:gdLst/>
                            <a:ahLst/>
                            <a:cxnLst/>
                            <a:rect l="0" t="0" r="0" b="0"/>
                            <a:pathLst>
                              <a:path w="6120000" h="9525">
                                <a:moveTo>
                                  <a:pt x="0" y="0"/>
                                </a:moveTo>
                                <a:lnTo>
                                  <a:pt x="6120000" y="0"/>
                                </a:lnTo>
                                <a:lnTo>
                                  <a:pt x="6120000" y="9525"/>
                                </a:lnTo>
                                <a:lnTo>
                                  <a:pt x="0" y="9525"/>
                                </a:lnTo>
                                <a:lnTo>
                                  <a:pt x="0" y="0"/>
                                </a:lnTo>
                              </a:path>
                            </a:pathLst>
                          </a:custGeom>
                          <a:ln w="0" cap="flat">
                            <a:miter lim="127000"/>
                          </a:ln>
                        </wps:spPr>
                        <wps:style>
                          <a:lnRef idx="0">
                            <a:srgbClr val="000000">
                              <a:alpha val="0"/>
                            </a:srgbClr>
                          </a:lnRef>
                          <a:fillRef idx="1">
                            <a:srgbClr val="EEEEEE"/>
                          </a:fillRef>
                          <a:effectRef idx="0">
                            <a:scrgbClr r="0" g="0" b="0"/>
                          </a:effectRef>
                          <a:fontRef idx="none"/>
                        </wps:style>
                        <wps:bodyPr/>
                      </wps:wsp>
                    </wpg:wgp>
                  </a:graphicData>
                </a:graphic>
              </wp:inline>
            </w:drawing>
          </mc:Choice>
          <mc:Fallback xmlns:a="http://schemas.openxmlformats.org/drawingml/2006/main">
            <w:pict>
              <v:group id="Group 1638" style="width:481.89pt;height:0.75pt;mso-position-horizontal-relative:char;mso-position-vertical-relative:line" coordsize="61200,95">
                <v:shape id="Shape 1875" style="position:absolute;width:61200;height:95;left:0;top:0;" coordsize="6120000,9525" path="m0,0l6120000,0l6120000,9525l0,9525l0,0">
                  <v:stroke weight="0pt" endcap="flat" joinstyle="miter" miterlimit="10" on="false" color="#000000" opacity="0"/>
                  <v:fill on="true" color="#eeeeee"/>
                </v:shape>
              </v:group>
            </w:pict>
          </mc:Fallback>
        </mc:AlternateContent>
      </w:r>
    </w:p>
    <w:p w14:paraId="4EDEF358" w14:textId="7680CCA4" w:rsidR="001E67DF" w:rsidRDefault="001E67DF">
      <w:pPr>
        <w:spacing w:line="259" w:lineRule="auto"/>
        <w:ind w:left="2703" w:firstLine="0"/>
      </w:pPr>
    </w:p>
    <w:sectPr w:rsidR="001E67DF">
      <w:pgSz w:w="11906" w:h="16838"/>
      <w:pgMar w:top="1251" w:right="1194" w:bottom="1321"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64EC"/>
    <w:multiLevelType w:val="hybridMultilevel"/>
    <w:tmpl w:val="513849CC"/>
    <w:lvl w:ilvl="0" w:tplc="6FAED7B2">
      <w:start w:val="1"/>
      <w:numFmt w:val="decimal"/>
      <w:lvlText w:val="%1."/>
      <w:lvlJc w:val="left"/>
      <w:pPr>
        <w:ind w:left="345" w:hanging="36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 w15:restartNumberingAfterBreak="0">
    <w:nsid w:val="12300105"/>
    <w:multiLevelType w:val="hybridMultilevel"/>
    <w:tmpl w:val="A9F6B5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4E2752C"/>
    <w:multiLevelType w:val="hybridMultilevel"/>
    <w:tmpl w:val="8E4C5B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571BED"/>
    <w:multiLevelType w:val="hybridMultilevel"/>
    <w:tmpl w:val="2ABA7DE8"/>
    <w:lvl w:ilvl="0" w:tplc="923C7A54">
      <w:start w:val="1"/>
      <w:numFmt w:val="bullet"/>
      <w:lvlText w:val="•"/>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84FE72D8">
      <w:start w:val="1"/>
      <w:numFmt w:val="bullet"/>
      <w:lvlText w:val="o"/>
      <w:lvlJc w:val="left"/>
      <w:pPr>
        <w:ind w:left="15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26D65FB6">
      <w:start w:val="1"/>
      <w:numFmt w:val="bullet"/>
      <w:lvlText w:val="▪"/>
      <w:lvlJc w:val="left"/>
      <w:pPr>
        <w:ind w:left="22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29202A92">
      <w:start w:val="1"/>
      <w:numFmt w:val="bullet"/>
      <w:lvlText w:val="•"/>
      <w:lvlJc w:val="left"/>
      <w:pPr>
        <w:ind w:left="29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A3C4FD74">
      <w:start w:val="1"/>
      <w:numFmt w:val="bullet"/>
      <w:lvlText w:val="o"/>
      <w:lvlJc w:val="left"/>
      <w:pPr>
        <w:ind w:left="368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01BCE4AA">
      <w:start w:val="1"/>
      <w:numFmt w:val="bullet"/>
      <w:lvlText w:val="▪"/>
      <w:lvlJc w:val="left"/>
      <w:pPr>
        <w:ind w:left="440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CD20EB42">
      <w:start w:val="1"/>
      <w:numFmt w:val="bullet"/>
      <w:lvlText w:val="•"/>
      <w:lvlJc w:val="left"/>
      <w:pPr>
        <w:ind w:left="512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08560D22">
      <w:start w:val="1"/>
      <w:numFmt w:val="bullet"/>
      <w:lvlText w:val="o"/>
      <w:lvlJc w:val="left"/>
      <w:pPr>
        <w:ind w:left="584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25EAFD32">
      <w:start w:val="1"/>
      <w:numFmt w:val="bullet"/>
      <w:lvlText w:val="▪"/>
      <w:lvlJc w:val="left"/>
      <w:pPr>
        <w:ind w:left="6569"/>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abstractNum w:abstractNumId="4" w15:restartNumberingAfterBreak="0">
    <w:nsid w:val="3FE73217"/>
    <w:multiLevelType w:val="hybridMultilevel"/>
    <w:tmpl w:val="7256B6A6"/>
    <w:lvl w:ilvl="0" w:tplc="A28E9CA2">
      <w:start w:val="1"/>
      <w:numFmt w:val="decimal"/>
      <w:lvlText w:val="%1."/>
      <w:lvlJc w:val="left"/>
      <w:pPr>
        <w:ind w:left="600"/>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1" w:tplc="62CA3E00">
      <w:start w:val="1"/>
      <w:numFmt w:val="lowerLetter"/>
      <w:lvlText w:val="%2"/>
      <w:lvlJc w:val="left"/>
      <w:pPr>
        <w:ind w:left="14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2" w:tplc="DB669618">
      <w:start w:val="1"/>
      <w:numFmt w:val="lowerRoman"/>
      <w:lvlText w:val="%3"/>
      <w:lvlJc w:val="left"/>
      <w:pPr>
        <w:ind w:left="21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3" w:tplc="AA3AE7F8">
      <w:start w:val="1"/>
      <w:numFmt w:val="decimal"/>
      <w:lvlText w:val="%4"/>
      <w:lvlJc w:val="left"/>
      <w:pPr>
        <w:ind w:left="28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4" w:tplc="CD9EBCAA">
      <w:start w:val="1"/>
      <w:numFmt w:val="lowerLetter"/>
      <w:lvlText w:val="%5"/>
      <w:lvlJc w:val="left"/>
      <w:pPr>
        <w:ind w:left="357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5" w:tplc="43847974">
      <w:start w:val="1"/>
      <w:numFmt w:val="lowerRoman"/>
      <w:lvlText w:val="%6"/>
      <w:lvlJc w:val="left"/>
      <w:pPr>
        <w:ind w:left="429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6" w:tplc="F4087782">
      <w:start w:val="1"/>
      <w:numFmt w:val="decimal"/>
      <w:lvlText w:val="%7"/>
      <w:lvlJc w:val="left"/>
      <w:pPr>
        <w:ind w:left="501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7" w:tplc="5964B8A4">
      <w:start w:val="1"/>
      <w:numFmt w:val="lowerLetter"/>
      <w:lvlText w:val="%8"/>
      <w:lvlJc w:val="left"/>
      <w:pPr>
        <w:ind w:left="573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lvl w:ilvl="8" w:tplc="0A1AEB22">
      <w:start w:val="1"/>
      <w:numFmt w:val="lowerRoman"/>
      <w:lvlText w:val="%9"/>
      <w:lvlJc w:val="left"/>
      <w:pPr>
        <w:ind w:left="6453"/>
      </w:pPr>
      <w:rPr>
        <w:rFonts w:ascii="Calibri" w:eastAsia="Calibri" w:hAnsi="Calibri" w:cs="Calibri"/>
        <w:b w:val="0"/>
        <w:i w:val="0"/>
        <w:strike w:val="0"/>
        <w:dstrike w:val="0"/>
        <w:color w:val="333333"/>
        <w:sz w:val="24"/>
        <w:szCs w:val="24"/>
        <w:u w:val="none" w:color="000000"/>
        <w:bdr w:val="none" w:sz="0" w:space="0" w:color="auto"/>
        <w:shd w:val="clear" w:color="auto" w:fill="auto"/>
        <w:vertAlign w:val="baseline"/>
      </w:rPr>
    </w:lvl>
  </w:abstractNum>
  <w:num w:numId="1" w16cid:durableId="1823811405">
    <w:abstractNumId w:val="4"/>
  </w:num>
  <w:num w:numId="2" w16cid:durableId="1402409293">
    <w:abstractNumId w:val="3"/>
  </w:num>
  <w:num w:numId="3" w16cid:durableId="832569701">
    <w:abstractNumId w:val="0"/>
  </w:num>
  <w:num w:numId="4" w16cid:durableId="786046854">
    <w:abstractNumId w:val="1"/>
  </w:num>
  <w:num w:numId="5" w16cid:durableId="1154225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67DF"/>
    <w:rsid w:val="000A2D75"/>
    <w:rsid w:val="000D1B55"/>
    <w:rsid w:val="0012638C"/>
    <w:rsid w:val="001E67DF"/>
    <w:rsid w:val="002E668C"/>
    <w:rsid w:val="00326BC7"/>
    <w:rsid w:val="00345369"/>
    <w:rsid w:val="00385090"/>
    <w:rsid w:val="004F1182"/>
    <w:rsid w:val="005830A5"/>
    <w:rsid w:val="005A26DB"/>
    <w:rsid w:val="005F6AD8"/>
    <w:rsid w:val="007313D5"/>
    <w:rsid w:val="007E52AF"/>
    <w:rsid w:val="00832F47"/>
    <w:rsid w:val="009E3CF5"/>
    <w:rsid w:val="00A80858"/>
    <w:rsid w:val="00D10606"/>
    <w:rsid w:val="00D52052"/>
    <w:rsid w:val="00D93C30"/>
    <w:rsid w:val="00E473B6"/>
    <w:rsid w:val="00F36B4A"/>
    <w:rsid w:val="00F96E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675F6"/>
  <w15:docId w15:val="{42AAC369-5A8D-47E6-8ED9-ED98C8955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5" w:lineRule="auto"/>
      <w:ind w:left="10" w:hanging="10"/>
    </w:pPr>
    <w:rPr>
      <w:rFonts w:ascii="Calibri" w:eastAsia="Calibri" w:hAnsi="Calibri" w:cs="Calibri"/>
      <w:color w:val="333333"/>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2980B9"/>
      <w:sz w:val="36"/>
    </w:rPr>
  </w:style>
  <w:style w:type="paragraph" w:styleId="Heading2">
    <w:name w:val="heading 2"/>
    <w:next w:val="Normal"/>
    <w:link w:val="Heading2Char"/>
    <w:uiPriority w:val="9"/>
    <w:unhideWhenUsed/>
    <w:qFormat/>
    <w:pPr>
      <w:keepNext/>
      <w:keepLines/>
      <w:spacing w:after="313" w:line="259" w:lineRule="auto"/>
      <w:ind w:left="10" w:hanging="10"/>
      <w:outlineLvl w:val="1"/>
    </w:pPr>
    <w:rPr>
      <w:rFonts w:ascii="Calibri" w:eastAsia="Calibri" w:hAnsi="Calibri" w:cs="Calibri"/>
      <w:b/>
      <w:color w:val="7F8C8D"/>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7F8C8D"/>
      <w:sz w:val="28"/>
    </w:rPr>
  </w:style>
  <w:style w:type="character" w:customStyle="1" w:styleId="Heading1Char">
    <w:name w:val="Heading 1 Char"/>
    <w:link w:val="Heading1"/>
    <w:rPr>
      <w:rFonts w:ascii="Calibri" w:eastAsia="Calibri" w:hAnsi="Calibri" w:cs="Calibri"/>
      <w:b/>
      <w:color w:val="2980B9"/>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F6A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2</Pages>
  <Words>394</Words>
  <Characters>2250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Reid</dc:creator>
  <cp:keywords/>
  <cp:lastModifiedBy>Cameron Reid</cp:lastModifiedBy>
  <cp:revision>12</cp:revision>
  <dcterms:created xsi:type="dcterms:W3CDTF">2026-05-12T16:45:00Z</dcterms:created>
  <dcterms:modified xsi:type="dcterms:W3CDTF">2026-08-20T14:58:00Z</dcterms:modified>
</cp:coreProperties>
</file>