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20F2EA" w14:textId="77777777" w:rsidR="00F76EC4" w:rsidRDefault="00F76EC4" w:rsidP="00242429">
      <w:pPr>
        <w:spacing w:after="0" w:line="240" w:lineRule="auto"/>
        <w:rPr>
          <w:rFonts w:ascii="Arial" w:eastAsia="Times New Roman" w:hAnsi="Arial" w:cs="Arial"/>
          <w:b/>
          <w:bCs/>
          <w:color w:val="000000"/>
          <w:kern w:val="0"/>
          <w:sz w:val="28"/>
          <w:szCs w:val="28"/>
          <w14:ligatures w14:val="none"/>
        </w:rPr>
      </w:pPr>
    </w:p>
    <w:p w14:paraId="06378833" w14:textId="77777777" w:rsidR="00F76EC4" w:rsidRDefault="00F76EC4" w:rsidP="00242429">
      <w:pPr>
        <w:spacing w:after="0" w:line="240" w:lineRule="auto"/>
        <w:rPr>
          <w:rFonts w:ascii="Arial" w:eastAsia="Times New Roman" w:hAnsi="Arial" w:cs="Arial"/>
          <w:b/>
          <w:bCs/>
          <w:color w:val="000000"/>
          <w:kern w:val="0"/>
          <w:sz w:val="28"/>
          <w:szCs w:val="28"/>
          <w14:ligatures w14:val="none"/>
        </w:rPr>
      </w:pPr>
    </w:p>
    <w:p w14:paraId="50AACAB7" w14:textId="77777777" w:rsidR="00F76EC4" w:rsidRDefault="00F76EC4" w:rsidP="00242429">
      <w:pPr>
        <w:spacing w:after="0" w:line="240" w:lineRule="auto"/>
        <w:rPr>
          <w:rFonts w:ascii="Arial" w:eastAsia="Times New Roman" w:hAnsi="Arial" w:cs="Arial"/>
          <w:b/>
          <w:bCs/>
          <w:color w:val="000000"/>
          <w:kern w:val="0"/>
          <w:sz w:val="28"/>
          <w:szCs w:val="28"/>
          <w14:ligatures w14:val="none"/>
        </w:rPr>
      </w:pPr>
    </w:p>
    <w:p w14:paraId="15E90882" w14:textId="77777777" w:rsidR="00F76EC4" w:rsidRDefault="00F76EC4" w:rsidP="00242429">
      <w:pPr>
        <w:spacing w:after="0" w:line="240" w:lineRule="auto"/>
        <w:rPr>
          <w:rFonts w:ascii="Arial" w:eastAsia="Times New Roman" w:hAnsi="Arial" w:cs="Arial"/>
          <w:b/>
          <w:bCs/>
          <w:color w:val="000000"/>
          <w:kern w:val="0"/>
          <w:sz w:val="28"/>
          <w:szCs w:val="28"/>
          <w14:ligatures w14:val="none"/>
        </w:rPr>
      </w:pPr>
    </w:p>
    <w:p w14:paraId="74915D4A" w14:textId="77777777" w:rsidR="00F76EC4" w:rsidRDefault="00F76EC4" w:rsidP="00242429">
      <w:pPr>
        <w:spacing w:after="0" w:line="240" w:lineRule="auto"/>
        <w:rPr>
          <w:rFonts w:ascii="Arial" w:eastAsia="Times New Roman" w:hAnsi="Arial" w:cs="Arial"/>
          <w:b/>
          <w:bCs/>
          <w:color w:val="000000"/>
          <w:kern w:val="0"/>
          <w:sz w:val="28"/>
          <w:szCs w:val="28"/>
          <w14:ligatures w14:val="none"/>
        </w:rPr>
      </w:pPr>
    </w:p>
    <w:p w14:paraId="423ECF91" w14:textId="77777777" w:rsidR="00F76EC4" w:rsidRDefault="00F76EC4" w:rsidP="00242429">
      <w:pPr>
        <w:spacing w:after="0" w:line="240" w:lineRule="auto"/>
        <w:rPr>
          <w:rFonts w:ascii="Arial" w:eastAsia="Times New Roman" w:hAnsi="Arial" w:cs="Arial"/>
          <w:b/>
          <w:bCs/>
          <w:color w:val="000000"/>
          <w:kern w:val="0"/>
          <w:sz w:val="28"/>
          <w:szCs w:val="28"/>
          <w14:ligatures w14:val="none"/>
        </w:rPr>
      </w:pPr>
    </w:p>
    <w:p w14:paraId="6D66F221" w14:textId="77777777" w:rsidR="00F76EC4" w:rsidRDefault="00F76EC4" w:rsidP="00242429">
      <w:pPr>
        <w:spacing w:after="0" w:line="240" w:lineRule="auto"/>
        <w:rPr>
          <w:rFonts w:ascii="Arial" w:eastAsia="Times New Roman" w:hAnsi="Arial" w:cs="Arial"/>
          <w:b/>
          <w:bCs/>
          <w:color w:val="000000"/>
          <w:kern w:val="0"/>
          <w:sz w:val="28"/>
          <w:szCs w:val="28"/>
          <w14:ligatures w14:val="none"/>
        </w:rPr>
      </w:pPr>
    </w:p>
    <w:p w14:paraId="0CE0EE1F" w14:textId="77777777" w:rsidR="00F76EC4" w:rsidRDefault="00F76EC4" w:rsidP="00242429">
      <w:pPr>
        <w:spacing w:after="0" w:line="240" w:lineRule="auto"/>
        <w:rPr>
          <w:rFonts w:ascii="Arial" w:eastAsia="Times New Roman" w:hAnsi="Arial" w:cs="Arial"/>
          <w:b/>
          <w:bCs/>
          <w:color w:val="000000"/>
          <w:kern w:val="0"/>
          <w:sz w:val="28"/>
          <w:szCs w:val="28"/>
          <w14:ligatures w14:val="none"/>
        </w:rPr>
      </w:pPr>
    </w:p>
    <w:p w14:paraId="6C42AF7E" w14:textId="79D171FB" w:rsidR="00F76EC4" w:rsidRPr="002E2E4F" w:rsidRDefault="00F76EC4" w:rsidP="00F76EC4">
      <w:pPr>
        <w:spacing w:after="0" w:line="240" w:lineRule="auto"/>
        <w:jc w:val="center"/>
        <w:rPr>
          <w:rFonts w:ascii="Arial" w:eastAsia="Times New Roman" w:hAnsi="Arial" w:cs="Arial"/>
          <w:b/>
          <w:bCs/>
          <w:color w:val="000000"/>
          <w:kern w:val="0"/>
          <w:sz w:val="48"/>
          <w:szCs w:val="48"/>
          <w14:ligatures w14:val="none"/>
        </w:rPr>
      </w:pPr>
      <w:r w:rsidRPr="002E2E4F">
        <w:rPr>
          <w:rFonts w:ascii="Arial" w:eastAsia="Times New Roman" w:hAnsi="Arial" w:cs="Arial"/>
          <w:b/>
          <w:bCs/>
          <w:color w:val="000000"/>
          <w:kern w:val="0"/>
          <w:sz w:val="48"/>
          <w:szCs w:val="48"/>
          <w14:ligatures w14:val="none"/>
        </w:rPr>
        <w:t>Assessing the Impact of Exchange Rate Fluctuations on FDI:</w:t>
      </w:r>
      <w:r w:rsidR="00222D17" w:rsidRPr="002E2E4F">
        <w:rPr>
          <w:rFonts w:ascii="Arial" w:eastAsia="Times New Roman" w:hAnsi="Arial" w:cs="Arial"/>
          <w:b/>
          <w:bCs/>
          <w:color w:val="000000"/>
          <w:kern w:val="0"/>
          <w:sz w:val="48"/>
          <w:szCs w:val="48"/>
          <w14:ligatures w14:val="none"/>
        </w:rPr>
        <w:t xml:space="preserve"> Comparative Insights from Austria and Germany</w:t>
      </w:r>
    </w:p>
    <w:p w14:paraId="018BF984" w14:textId="77777777" w:rsidR="00F76EC4" w:rsidRDefault="00F76EC4" w:rsidP="00242429">
      <w:pPr>
        <w:spacing w:after="0" w:line="240" w:lineRule="auto"/>
        <w:rPr>
          <w:rFonts w:ascii="Arial" w:eastAsia="Times New Roman" w:hAnsi="Arial" w:cs="Arial"/>
          <w:b/>
          <w:bCs/>
          <w:color w:val="000000"/>
          <w:kern w:val="0"/>
          <w:sz w:val="28"/>
          <w:szCs w:val="28"/>
          <w14:ligatures w14:val="none"/>
        </w:rPr>
      </w:pPr>
    </w:p>
    <w:p w14:paraId="3497BB8F" w14:textId="77777777" w:rsidR="00222D17" w:rsidRDefault="00222D17" w:rsidP="00242429">
      <w:pPr>
        <w:spacing w:after="0" w:line="240" w:lineRule="auto"/>
        <w:rPr>
          <w:rFonts w:ascii="Arial" w:eastAsia="Times New Roman" w:hAnsi="Arial" w:cs="Arial"/>
          <w:b/>
          <w:bCs/>
          <w:color w:val="000000"/>
          <w:kern w:val="0"/>
          <w:sz w:val="28"/>
          <w:szCs w:val="28"/>
          <w14:ligatures w14:val="none"/>
        </w:rPr>
      </w:pPr>
    </w:p>
    <w:p w14:paraId="1F06C532" w14:textId="2405D972" w:rsidR="00F76EC4" w:rsidRPr="002A76BF" w:rsidRDefault="002A76BF" w:rsidP="00222D17">
      <w:pPr>
        <w:spacing w:after="0" w:line="480" w:lineRule="auto"/>
        <w:jc w:val="center"/>
        <w:rPr>
          <w:rFonts w:ascii="Arial" w:eastAsia="Times New Roman" w:hAnsi="Arial" w:cs="Arial"/>
          <w:b/>
          <w:bCs/>
          <w:color w:val="000000"/>
          <w:kern w:val="0"/>
          <w:sz w:val="32"/>
          <w:szCs w:val="32"/>
          <w:lang w:val="sv-SE"/>
          <w14:ligatures w14:val="none"/>
        </w:rPr>
      </w:pPr>
      <w:r w:rsidRPr="002A76BF">
        <w:rPr>
          <w:rFonts w:ascii="Arial" w:eastAsia="Times New Roman" w:hAnsi="Arial" w:cs="Arial"/>
          <w:b/>
          <w:bCs/>
          <w:color w:val="000000"/>
          <w:kern w:val="0"/>
          <w:sz w:val="32"/>
          <w:szCs w:val="32"/>
          <w:lang w:val="sv-SE"/>
          <w14:ligatures w14:val="none"/>
        </w:rPr>
        <w:t>Professor Erfani, Rod</w:t>
      </w:r>
    </w:p>
    <w:p w14:paraId="0065BE77" w14:textId="2F1B3358" w:rsidR="00222D17" w:rsidRPr="002A76BF" w:rsidRDefault="00222D17" w:rsidP="00222D17">
      <w:pPr>
        <w:spacing w:after="0" w:line="480" w:lineRule="auto"/>
        <w:jc w:val="center"/>
        <w:rPr>
          <w:rFonts w:ascii="Arial" w:eastAsia="Times New Roman" w:hAnsi="Arial" w:cs="Arial"/>
          <w:b/>
          <w:bCs/>
          <w:color w:val="000000"/>
          <w:kern w:val="0"/>
          <w:sz w:val="32"/>
          <w:szCs w:val="32"/>
          <w:lang w:val="sv-SE"/>
          <w14:ligatures w14:val="none"/>
        </w:rPr>
      </w:pPr>
      <w:r w:rsidRPr="002A76BF">
        <w:rPr>
          <w:rFonts w:ascii="Arial" w:eastAsia="Times New Roman" w:hAnsi="Arial" w:cs="Arial"/>
          <w:b/>
          <w:bCs/>
          <w:color w:val="000000"/>
          <w:kern w:val="0"/>
          <w:sz w:val="32"/>
          <w:szCs w:val="32"/>
          <w:lang w:val="sv-SE"/>
          <w14:ligatures w14:val="none"/>
        </w:rPr>
        <w:t>ECON-3144</w:t>
      </w:r>
    </w:p>
    <w:p w14:paraId="6CBD209B" w14:textId="0022AF81" w:rsidR="00222D17" w:rsidRPr="002A76BF" w:rsidRDefault="002A76BF" w:rsidP="00222D17">
      <w:pPr>
        <w:spacing w:after="0" w:line="480" w:lineRule="auto"/>
        <w:jc w:val="center"/>
        <w:rPr>
          <w:rFonts w:ascii="Arial" w:eastAsia="Times New Roman" w:hAnsi="Arial" w:cs="Arial"/>
          <w:b/>
          <w:bCs/>
          <w:color w:val="000000"/>
          <w:kern w:val="0"/>
          <w:sz w:val="32"/>
          <w:szCs w:val="32"/>
          <w:lang w:val="sv-SE"/>
          <w14:ligatures w14:val="none"/>
        </w:rPr>
      </w:pPr>
      <w:r w:rsidRPr="002A76BF">
        <w:rPr>
          <w:rFonts w:ascii="Arial" w:eastAsia="Times New Roman" w:hAnsi="Arial" w:cs="Arial"/>
          <w:b/>
          <w:bCs/>
          <w:color w:val="000000"/>
          <w:kern w:val="0"/>
          <w:sz w:val="32"/>
          <w:szCs w:val="32"/>
          <w:lang w:val="sv-SE"/>
          <w14:ligatures w14:val="none"/>
        </w:rPr>
        <w:t>Hor</w:t>
      </w:r>
      <w:r>
        <w:rPr>
          <w:rFonts w:ascii="Arial" w:eastAsia="Times New Roman" w:hAnsi="Arial" w:cs="Arial"/>
          <w:b/>
          <w:bCs/>
          <w:color w:val="000000"/>
          <w:kern w:val="0"/>
          <w:sz w:val="32"/>
          <w:szCs w:val="32"/>
          <w:lang w:val="sv-SE"/>
          <w14:ligatures w14:val="none"/>
        </w:rPr>
        <w:t>ine, Cameron</w:t>
      </w:r>
    </w:p>
    <w:p w14:paraId="0672026B" w14:textId="28A3C444" w:rsidR="00222D17" w:rsidRPr="00222D17" w:rsidRDefault="00222D17" w:rsidP="00222D17">
      <w:pPr>
        <w:spacing w:after="0" w:line="240" w:lineRule="auto"/>
        <w:jc w:val="center"/>
        <w:rPr>
          <w:rFonts w:ascii="Arial" w:eastAsia="Times New Roman" w:hAnsi="Arial" w:cs="Arial"/>
          <w:b/>
          <w:bCs/>
          <w:color w:val="000000"/>
          <w:kern w:val="0"/>
          <w:sz w:val="32"/>
          <w:szCs w:val="32"/>
          <w14:ligatures w14:val="none"/>
        </w:rPr>
      </w:pPr>
      <w:r>
        <w:rPr>
          <w:rFonts w:ascii="Arial" w:eastAsia="Times New Roman" w:hAnsi="Arial" w:cs="Arial"/>
          <w:b/>
          <w:bCs/>
          <w:color w:val="000000"/>
          <w:kern w:val="0"/>
          <w:sz w:val="32"/>
          <w:szCs w:val="32"/>
          <w14:ligatures w14:val="none"/>
        </w:rPr>
        <w:t>Final Paper</w:t>
      </w:r>
    </w:p>
    <w:p w14:paraId="4771A007" w14:textId="77777777" w:rsidR="00F76EC4" w:rsidRDefault="00F76EC4" w:rsidP="00242429">
      <w:pPr>
        <w:spacing w:after="0" w:line="240" w:lineRule="auto"/>
        <w:rPr>
          <w:rFonts w:ascii="Arial" w:eastAsia="Times New Roman" w:hAnsi="Arial" w:cs="Arial"/>
          <w:b/>
          <w:bCs/>
          <w:color w:val="000000"/>
          <w:kern w:val="0"/>
          <w:sz w:val="28"/>
          <w:szCs w:val="28"/>
          <w14:ligatures w14:val="none"/>
        </w:rPr>
      </w:pPr>
    </w:p>
    <w:p w14:paraId="58864796" w14:textId="77777777" w:rsidR="00F76EC4" w:rsidRDefault="00F76EC4" w:rsidP="00242429">
      <w:pPr>
        <w:spacing w:after="0" w:line="240" w:lineRule="auto"/>
        <w:rPr>
          <w:rFonts w:ascii="Arial" w:eastAsia="Times New Roman" w:hAnsi="Arial" w:cs="Arial"/>
          <w:b/>
          <w:bCs/>
          <w:color w:val="000000"/>
          <w:kern w:val="0"/>
          <w:sz w:val="28"/>
          <w:szCs w:val="28"/>
          <w14:ligatures w14:val="none"/>
        </w:rPr>
      </w:pPr>
    </w:p>
    <w:p w14:paraId="5353C522" w14:textId="77777777" w:rsidR="00F76EC4" w:rsidRDefault="00F76EC4" w:rsidP="00242429">
      <w:pPr>
        <w:spacing w:after="0" w:line="240" w:lineRule="auto"/>
        <w:rPr>
          <w:rFonts w:ascii="Arial" w:eastAsia="Times New Roman" w:hAnsi="Arial" w:cs="Arial"/>
          <w:b/>
          <w:bCs/>
          <w:color w:val="000000"/>
          <w:kern w:val="0"/>
          <w:sz w:val="28"/>
          <w:szCs w:val="28"/>
          <w14:ligatures w14:val="none"/>
        </w:rPr>
      </w:pPr>
    </w:p>
    <w:p w14:paraId="5E9E53B9" w14:textId="77777777" w:rsidR="00F76EC4" w:rsidRDefault="00F76EC4" w:rsidP="00242429">
      <w:pPr>
        <w:spacing w:after="0" w:line="240" w:lineRule="auto"/>
        <w:rPr>
          <w:rFonts w:ascii="Arial" w:eastAsia="Times New Roman" w:hAnsi="Arial" w:cs="Arial"/>
          <w:b/>
          <w:bCs/>
          <w:color w:val="000000"/>
          <w:kern w:val="0"/>
          <w:sz w:val="28"/>
          <w:szCs w:val="28"/>
          <w14:ligatures w14:val="none"/>
        </w:rPr>
      </w:pPr>
    </w:p>
    <w:p w14:paraId="1DEB79B7" w14:textId="77777777" w:rsidR="00F76EC4" w:rsidRDefault="00F76EC4" w:rsidP="00242429">
      <w:pPr>
        <w:spacing w:after="0" w:line="240" w:lineRule="auto"/>
        <w:rPr>
          <w:rFonts w:ascii="Arial" w:eastAsia="Times New Roman" w:hAnsi="Arial" w:cs="Arial"/>
          <w:b/>
          <w:bCs/>
          <w:color w:val="000000"/>
          <w:kern w:val="0"/>
          <w:sz w:val="28"/>
          <w:szCs w:val="28"/>
          <w14:ligatures w14:val="none"/>
        </w:rPr>
      </w:pPr>
    </w:p>
    <w:p w14:paraId="0F9D92BE" w14:textId="77777777" w:rsidR="00F76EC4" w:rsidRDefault="00F76EC4" w:rsidP="00242429">
      <w:pPr>
        <w:spacing w:after="0" w:line="240" w:lineRule="auto"/>
        <w:rPr>
          <w:rFonts w:ascii="Arial" w:eastAsia="Times New Roman" w:hAnsi="Arial" w:cs="Arial"/>
          <w:b/>
          <w:bCs/>
          <w:color w:val="000000"/>
          <w:kern w:val="0"/>
          <w:sz w:val="28"/>
          <w:szCs w:val="28"/>
          <w14:ligatures w14:val="none"/>
        </w:rPr>
      </w:pPr>
    </w:p>
    <w:p w14:paraId="1A5B26F8" w14:textId="77777777" w:rsidR="00F76EC4" w:rsidRDefault="00F76EC4" w:rsidP="00242429">
      <w:pPr>
        <w:spacing w:after="0" w:line="240" w:lineRule="auto"/>
        <w:rPr>
          <w:rFonts w:ascii="Arial" w:eastAsia="Times New Roman" w:hAnsi="Arial" w:cs="Arial"/>
          <w:b/>
          <w:bCs/>
          <w:color w:val="000000"/>
          <w:kern w:val="0"/>
          <w:sz w:val="28"/>
          <w:szCs w:val="28"/>
          <w14:ligatures w14:val="none"/>
        </w:rPr>
      </w:pPr>
    </w:p>
    <w:p w14:paraId="3B5BFE50" w14:textId="77777777" w:rsidR="00F76EC4" w:rsidRDefault="00F76EC4" w:rsidP="00242429">
      <w:pPr>
        <w:spacing w:after="0" w:line="240" w:lineRule="auto"/>
        <w:rPr>
          <w:rFonts w:ascii="Arial" w:eastAsia="Times New Roman" w:hAnsi="Arial" w:cs="Arial"/>
          <w:b/>
          <w:bCs/>
          <w:color w:val="000000"/>
          <w:kern w:val="0"/>
          <w:sz w:val="28"/>
          <w:szCs w:val="28"/>
          <w14:ligatures w14:val="none"/>
        </w:rPr>
      </w:pPr>
    </w:p>
    <w:p w14:paraId="2A01A3DE" w14:textId="77777777" w:rsidR="00F76EC4" w:rsidRDefault="00F76EC4" w:rsidP="00242429">
      <w:pPr>
        <w:spacing w:after="0" w:line="240" w:lineRule="auto"/>
        <w:rPr>
          <w:rFonts w:ascii="Arial" w:eastAsia="Times New Roman" w:hAnsi="Arial" w:cs="Arial"/>
          <w:b/>
          <w:bCs/>
          <w:color w:val="000000"/>
          <w:kern w:val="0"/>
          <w:sz w:val="28"/>
          <w:szCs w:val="28"/>
          <w14:ligatures w14:val="none"/>
        </w:rPr>
      </w:pPr>
    </w:p>
    <w:p w14:paraId="202B3723" w14:textId="77777777" w:rsidR="00F76EC4" w:rsidRDefault="00F76EC4" w:rsidP="00242429">
      <w:pPr>
        <w:spacing w:after="0" w:line="240" w:lineRule="auto"/>
        <w:rPr>
          <w:rFonts w:ascii="Arial" w:eastAsia="Times New Roman" w:hAnsi="Arial" w:cs="Arial"/>
          <w:b/>
          <w:bCs/>
          <w:color w:val="000000"/>
          <w:kern w:val="0"/>
          <w:sz w:val="28"/>
          <w:szCs w:val="28"/>
          <w14:ligatures w14:val="none"/>
        </w:rPr>
      </w:pPr>
    </w:p>
    <w:p w14:paraId="04E77B0C" w14:textId="77777777" w:rsidR="00F76EC4" w:rsidRDefault="00F76EC4" w:rsidP="00242429">
      <w:pPr>
        <w:spacing w:after="0" w:line="240" w:lineRule="auto"/>
        <w:rPr>
          <w:rFonts w:ascii="Arial" w:eastAsia="Times New Roman" w:hAnsi="Arial" w:cs="Arial"/>
          <w:b/>
          <w:bCs/>
          <w:color w:val="000000"/>
          <w:kern w:val="0"/>
          <w:sz w:val="28"/>
          <w:szCs w:val="28"/>
          <w14:ligatures w14:val="none"/>
        </w:rPr>
      </w:pPr>
    </w:p>
    <w:p w14:paraId="5412298E" w14:textId="77777777" w:rsidR="002E2E4F" w:rsidRDefault="002E2E4F" w:rsidP="00242429">
      <w:pPr>
        <w:spacing w:after="0" w:line="240" w:lineRule="auto"/>
        <w:rPr>
          <w:rFonts w:ascii="Arial" w:eastAsia="Times New Roman" w:hAnsi="Arial" w:cs="Arial"/>
          <w:b/>
          <w:bCs/>
          <w:color w:val="000000"/>
          <w:kern w:val="0"/>
          <w:sz w:val="28"/>
          <w:szCs w:val="28"/>
          <w14:ligatures w14:val="none"/>
        </w:rPr>
      </w:pPr>
    </w:p>
    <w:p w14:paraId="1A27616F" w14:textId="77777777" w:rsidR="00F76EC4" w:rsidRDefault="00F76EC4" w:rsidP="00242429">
      <w:pPr>
        <w:spacing w:after="0" w:line="240" w:lineRule="auto"/>
        <w:rPr>
          <w:rFonts w:ascii="Arial" w:eastAsia="Times New Roman" w:hAnsi="Arial" w:cs="Arial"/>
          <w:b/>
          <w:bCs/>
          <w:color w:val="000000"/>
          <w:kern w:val="0"/>
          <w:sz w:val="28"/>
          <w:szCs w:val="28"/>
          <w14:ligatures w14:val="none"/>
        </w:rPr>
      </w:pPr>
    </w:p>
    <w:p w14:paraId="4E318419" w14:textId="77777777" w:rsidR="00F76EC4" w:rsidRDefault="00F76EC4" w:rsidP="00242429">
      <w:pPr>
        <w:spacing w:after="0" w:line="240" w:lineRule="auto"/>
        <w:rPr>
          <w:rFonts w:ascii="Arial" w:eastAsia="Times New Roman" w:hAnsi="Arial" w:cs="Arial"/>
          <w:b/>
          <w:bCs/>
          <w:color w:val="000000"/>
          <w:kern w:val="0"/>
          <w:sz w:val="28"/>
          <w:szCs w:val="28"/>
          <w14:ligatures w14:val="none"/>
        </w:rPr>
      </w:pPr>
    </w:p>
    <w:p w14:paraId="5E6302B5" w14:textId="77777777" w:rsidR="00222D17" w:rsidRDefault="00222D17" w:rsidP="00242429">
      <w:pPr>
        <w:spacing w:after="0" w:line="240" w:lineRule="auto"/>
        <w:rPr>
          <w:rFonts w:ascii="Arial" w:eastAsia="Times New Roman" w:hAnsi="Arial" w:cs="Arial"/>
          <w:b/>
          <w:bCs/>
          <w:color w:val="000000"/>
          <w:kern w:val="0"/>
          <w:sz w:val="28"/>
          <w:szCs w:val="28"/>
          <w14:ligatures w14:val="none"/>
        </w:rPr>
      </w:pPr>
    </w:p>
    <w:p w14:paraId="596365A4" w14:textId="77777777" w:rsidR="00F76EC4" w:rsidRDefault="00F76EC4" w:rsidP="00242429">
      <w:pPr>
        <w:spacing w:after="0" w:line="240" w:lineRule="auto"/>
        <w:rPr>
          <w:rFonts w:ascii="Arial" w:eastAsia="Times New Roman" w:hAnsi="Arial" w:cs="Arial"/>
          <w:b/>
          <w:bCs/>
          <w:color w:val="000000"/>
          <w:kern w:val="0"/>
          <w:sz w:val="28"/>
          <w:szCs w:val="28"/>
          <w14:ligatures w14:val="none"/>
        </w:rPr>
      </w:pPr>
    </w:p>
    <w:p w14:paraId="0F72DDFE" w14:textId="5CA5A2CC" w:rsidR="00242429" w:rsidRPr="00242429" w:rsidRDefault="00242429" w:rsidP="00242429">
      <w:pPr>
        <w:spacing w:after="0" w:line="240" w:lineRule="auto"/>
        <w:rPr>
          <w:rFonts w:ascii="Times New Roman" w:eastAsia="Times New Roman" w:hAnsi="Times New Roman" w:cs="Times New Roman"/>
          <w:kern w:val="0"/>
          <w14:ligatures w14:val="none"/>
        </w:rPr>
      </w:pPr>
      <w:r w:rsidRPr="00242429">
        <w:rPr>
          <w:rFonts w:ascii="Arial" w:eastAsia="Times New Roman" w:hAnsi="Arial" w:cs="Arial"/>
          <w:b/>
          <w:bCs/>
          <w:color w:val="000000"/>
          <w:kern w:val="0"/>
          <w:sz w:val="28"/>
          <w:szCs w:val="28"/>
          <w14:ligatures w14:val="none"/>
        </w:rPr>
        <w:lastRenderedPageBreak/>
        <w:t>1. INTRODUCTION</w:t>
      </w:r>
    </w:p>
    <w:p w14:paraId="44BB1451" w14:textId="77777777" w:rsidR="00242429" w:rsidRPr="00242429" w:rsidRDefault="00242429" w:rsidP="00242429">
      <w:pPr>
        <w:spacing w:after="0" w:line="240" w:lineRule="auto"/>
        <w:rPr>
          <w:rFonts w:ascii="Times New Roman" w:eastAsia="Times New Roman" w:hAnsi="Times New Roman" w:cs="Times New Roman"/>
          <w:kern w:val="0"/>
          <w14:ligatures w14:val="none"/>
        </w:rPr>
      </w:pPr>
    </w:p>
    <w:p w14:paraId="5807465C" w14:textId="77777777" w:rsidR="00242429" w:rsidRPr="00242429" w:rsidRDefault="00242429" w:rsidP="00242429">
      <w:pPr>
        <w:spacing w:after="0" w:line="240" w:lineRule="auto"/>
        <w:rPr>
          <w:rFonts w:ascii="Times New Roman" w:eastAsia="Times New Roman" w:hAnsi="Times New Roman" w:cs="Times New Roman"/>
          <w:kern w:val="0"/>
          <w14:ligatures w14:val="none"/>
        </w:rPr>
      </w:pPr>
      <w:r w:rsidRPr="00242429">
        <w:rPr>
          <w:rFonts w:ascii="Arial" w:eastAsia="Times New Roman" w:hAnsi="Arial" w:cs="Arial"/>
          <w:b/>
          <w:bCs/>
          <w:color w:val="000000"/>
          <w:kern w:val="0"/>
          <w14:ligatures w14:val="none"/>
        </w:rPr>
        <w:t xml:space="preserve">1.1 </w:t>
      </w:r>
      <w:r w:rsidRPr="00242429">
        <w:rPr>
          <w:rFonts w:ascii="Arial" w:eastAsia="Times New Roman" w:hAnsi="Arial" w:cs="Arial"/>
          <w:color w:val="000000"/>
          <w:kern w:val="0"/>
          <w14:ligatures w14:val="none"/>
        </w:rPr>
        <w:t>Conception and Influence</w:t>
      </w:r>
    </w:p>
    <w:p w14:paraId="2A231695" w14:textId="77777777" w:rsidR="00242429" w:rsidRPr="00242429" w:rsidRDefault="00242429" w:rsidP="00242429">
      <w:pPr>
        <w:spacing w:after="0" w:line="240" w:lineRule="auto"/>
        <w:rPr>
          <w:rFonts w:ascii="Times New Roman" w:eastAsia="Times New Roman" w:hAnsi="Times New Roman" w:cs="Times New Roman"/>
          <w:kern w:val="0"/>
          <w14:ligatures w14:val="none"/>
        </w:rPr>
      </w:pPr>
    </w:p>
    <w:p w14:paraId="1F261FD5" w14:textId="0BF6CC96" w:rsidR="00242429" w:rsidRPr="00242429" w:rsidRDefault="00242429" w:rsidP="00242429">
      <w:pPr>
        <w:spacing w:after="0" w:line="480" w:lineRule="auto"/>
        <w:jc w:val="both"/>
        <w:rPr>
          <w:rFonts w:ascii="Times New Roman" w:eastAsia="Times New Roman" w:hAnsi="Times New Roman" w:cs="Times New Roman"/>
          <w:kern w:val="0"/>
          <w14:ligatures w14:val="none"/>
        </w:rPr>
      </w:pPr>
      <w:r w:rsidRPr="00242429">
        <w:rPr>
          <w:rFonts w:ascii="Arial" w:eastAsia="Times New Roman" w:hAnsi="Arial" w:cs="Arial"/>
          <w:color w:val="000000"/>
          <w:kern w:val="0"/>
          <w14:ligatures w14:val="none"/>
        </w:rPr>
        <w:tab/>
        <w:t>A vital pillar of a nation’s economic development is that of Foreign Direct Investment (FDI) (Lasbrey et al.</w:t>
      </w:r>
      <w:r w:rsidR="00E57E94">
        <w:rPr>
          <w:rFonts w:ascii="Arial" w:eastAsia="Times New Roman" w:hAnsi="Arial" w:cs="Arial"/>
          <w:color w:val="000000"/>
          <w:kern w:val="0"/>
          <w14:ligatures w14:val="none"/>
        </w:rPr>
        <w:t>,</w:t>
      </w:r>
      <w:r w:rsidRPr="00242429">
        <w:rPr>
          <w:rFonts w:ascii="Arial" w:eastAsia="Times New Roman" w:hAnsi="Arial" w:cs="Arial"/>
          <w:color w:val="000000"/>
          <w:kern w:val="0"/>
          <w14:ligatures w14:val="none"/>
        </w:rPr>
        <w:t xml:space="preserve"> 2018). Although the influence of FDI on Economic Growth (EG) is thoroughly established, particularly in cases for developing nations (Erickson 2019), it is more difficult to ascertain the relative role of contributor independent variables to what influences FDI, particularly that of FDI inflows (both horizontal and vertical). Thus, identifying the aforementioned roles of the independent variables in FDI are absolutely integral to nations across the world – if one can identify what economic factors influence FDI, nations can make conscious and concentrated efforts in manipulating these variables to their advantage (and to the advantage of other nations by proxy), and thus reap the benefits of FDI on EG. </w:t>
      </w:r>
    </w:p>
    <w:p w14:paraId="149FEFB8" w14:textId="77777777" w:rsidR="00242429" w:rsidRPr="00242429" w:rsidRDefault="00242429" w:rsidP="00242429">
      <w:pPr>
        <w:spacing w:after="0" w:line="480" w:lineRule="auto"/>
        <w:jc w:val="both"/>
        <w:rPr>
          <w:rFonts w:ascii="Times New Roman" w:eastAsia="Times New Roman" w:hAnsi="Times New Roman" w:cs="Times New Roman"/>
          <w:kern w:val="0"/>
          <w14:ligatures w14:val="none"/>
        </w:rPr>
      </w:pPr>
      <w:r w:rsidRPr="00242429">
        <w:rPr>
          <w:rFonts w:ascii="Arial" w:eastAsia="Times New Roman" w:hAnsi="Arial" w:cs="Arial"/>
          <w:b/>
          <w:bCs/>
          <w:color w:val="000000"/>
          <w:kern w:val="0"/>
          <w14:ligatures w14:val="none"/>
        </w:rPr>
        <w:t xml:space="preserve">1.2 </w:t>
      </w:r>
      <w:r w:rsidRPr="00242429">
        <w:rPr>
          <w:rFonts w:ascii="Arial" w:eastAsia="Times New Roman" w:hAnsi="Arial" w:cs="Arial"/>
          <w:color w:val="000000"/>
          <w:kern w:val="0"/>
          <w14:ligatures w14:val="none"/>
        </w:rPr>
        <w:t>The Achilles Heel of Complexity</w:t>
      </w:r>
    </w:p>
    <w:p w14:paraId="56BC284E" w14:textId="77777777" w:rsidR="00242429" w:rsidRPr="00242429" w:rsidRDefault="00242429" w:rsidP="002E2E4F">
      <w:pPr>
        <w:spacing w:after="0" w:line="480" w:lineRule="auto"/>
        <w:jc w:val="both"/>
        <w:rPr>
          <w:rFonts w:ascii="Times New Roman" w:eastAsia="Times New Roman" w:hAnsi="Times New Roman" w:cs="Times New Roman"/>
          <w:kern w:val="0"/>
          <w14:ligatures w14:val="none"/>
        </w:rPr>
      </w:pPr>
      <w:r w:rsidRPr="00242429">
        <w:rPr>
          <w:rFonts w:ascii="Arial" w:eastAsia="Times New Roman" w:hAnsi="Arial" w:cs="Arial"/>
          <w:color w:val="000000"/>
          <w:kern w:val="0"/>
          <w14:ligatures w14:val="none"/>
        </w:rPr>
        <w:tab/>
        <w:t>The issue of identifying the previously alluded to economic variables lies within the complexity of international economics as a whole. For instance, there is a large issue with the differences between nations – even among nations that are conceived as being “similar”. Take the two countries of Germany and the United States, for example. Both nations are considered part of the “western world”, but their economies, geography, political system (and political climate), etc. vary drastically. Moreover, one can further delineate between small and large nation-models as it pertains to international trade and finance (Mexico and Cuba, as an example). </w:t>
      </w:r>
    </w:p>
    <w:p w14:paraId="7366B263" w14:textId="77777777" w:rsidR="00242429" w:rsidRPr="00242429" w:rsidRDefault="00242429" w:rsidP="002E2E4F">
      <w:pPr>
        <w:spacing w:after="0" w:line="480" w:lineRule="auto"/>
        <w:jc w:val="both"/>
        <w:rPr>
          <w:rFonts w:ascii="Times New Roman" w:eastAsia="Times New Roman" w:hAnsi="Times New Roman" w:cs="Times New Roman"/>
          <w:kern w:val="0"/>
          <w14:ligatures w14:val="none"/>
        </w:rPr>
      </w:pPr>
      <w:r w:rsidRPr="00242429">
        <w:rPr>
          <w:rFonts w:ascii="Arial" w:eastAsia="Times New Roman" w:hAnsi="Arial" w:cs="Arial"/>
          <w:b/>
          <w:bCs/>
          <w:color w:val="000000"/>
          <w:kern w:val="0"/>
          <w:sz w:val="28"/>
          <w:szCs w:val="28"/>
          <w14:ligatures w14:val="none"/>
        </w:rPr>
        <w:t>2. LITERATURE REVIEW</w:t>
      </w:r>
    </w:p>
    <w:p w14:paraId="45D672C1" w14:textId="77777777" w:rsidR="00242429" w:rsidRPr="00242429" w:rsidRDefault="00242429" w:rsidP="00242429">
      <w:pPr>
        <w:spacing w:after="0" w:line="480" w:lineRule="auto"/>
        <w:jc w:val="both"/>
        <w:rPr>
          <w:rFonts w:ascii="Times New Roman" w:eastAsia="Times New Roman" w:hAnsi="Times New Roman" w:cs="Times New Roman"/>
          <w:kern w:val="0"/>
          <w14:ligatures w14:val="none"/>
        </w:rPr>
      </w:pPr>
      <w:r w:rsidRPr="00242429">
        <w:rPr>
          <w:rFonts w:ascii="Arial" w:eastAsia="Times New Roman" w:hAnsi="Arial" w:cs="Arial"/>
          <w:b/>
          <w:bCs/>
          <w:color w:val="000000"/>
          <w:kern w:val="0"/>
          <w14:ligatures w14:val="none"/>
        </w:rPr>
        <w:t xml:space="preserve">2.1 </w:t>
      </w:r>
      <w:r w:rsidRPr="00242429">
        <w:rPr>
          <w:rFonts w:ascii="Arial" w:eastAsia="Times New Roman" w:hAnsi="Arial" w:cs="Arial"/>
          <w:color w:val="000000"/>
          <w:kern w:val="0"/>
          <w14:ligatures w14:val="none"/>
        </w:rPr>
        <w:t>FDI Determinants</w:t>
      </w:r>
    </w:p>
    <w:p w14:paraId="4EFD3A71" w14:textId="0DE14A19" w:rsidR="00242429" w:rsidRPr="00242429" w:rsidRDefault="00242429" w:rsidP="00242429">
      <w:pPr>
        <w:spacing w:after="0" w:line="480" w:lineRule="auto"/>
        <w:jc w:val="both"/>
        <w:rPr>
          <w:rFonts w:ascii="Times New Roman" w:eastAsia="Times New Roman" w:hAnsi="Times New Roman" w:cs="Times New Roman"/>
          <w:kern w:val="0"/>
          <w14:ligatures w14:val="none"/>
        </w:rPr>
      </w:pPr>
      <w:r w:rsidRPr="00242429">
        <w:rPr>
          <w:rFonts w:ascii="Arial" w:eastAsia="Times New Roman" w:hAnsi="Arial" w:cs="Arial"/>
          <w:color w:val="000000"/>
          <w:kern w:val="0"/>
          <w14:ligatures w14:val="none"/>
        </w:rPr>
        <w:lastRenderedPageBreak/>
        <w:tab/>
        <w:t>Although there is much ambiguity concerning the relative impact of various independent variables in determining the level of FDI inflows, there is economic theory and empirical data that indicate several potential causal variables in determining the level of FDI. Some of the aforementioned potential determinant variables of FDI can be identified. Namely, Chandra et al.</w:t>
      </w:r>
      <w:r w:rsidR="00E57E94">
        <w:rPr>
          <w:rFonts w:ascii="Arial" w:eastAsia="Times New Roman" w:hAnsi="Arial" w:cs="Arial"/>
          <w:color w:val="000000"/>
          <w:kern w:val="0"/>
          <w14:ligatures w14:val="none"/>
        </w:rPr>
        <w:t>,</w:t>
      </w:r>
      <w:r w:rsidRPr="00242429">
        <w:rPr>
          <w:rFonts w:ascii="Arial" w:eastAsia="Times New Roman" w:hAnsi="Arial" w:cs="Arial"/>
          <w:color w:val="000000"/>
          <w:kern w:val="0"/>
          <w14:ligatures w14:val="none"/>
        </w:rPr>
        <w:t xml:space="preserve"> (2020), a study that looked at 31 Asian countries from the period of 2002-2017, </w:t>
      </w:r>
      <w:r w:rsidR="00E57E94">
        <w:rPr>
          <w:rFonts w:ascii="Arial" w:eastAsia="Times New Roman" w:hAnsi="Arial" w:cs="Arial"/>
          <w:color w:val="000000"/>
          <w:kern w:val="0"/>
          <w14:ligatures w14:val="none"/>
        </w:rPr>
        <w:t xml:space="preserve">and </w:t>
      </w:r>
      <w:r w:rsidRPr="00242429">
        <w:rPr>
          <w:rFonts w:ascii="Arial" w:eastAsia="Times New Roman" w:hAnsi="Arial" w:cs="Arial"/>
          <w:color w:val="000000"/>
          <w:kern w:val="0"/>
          <w14:ligatures w14:val="none"/>
        </w:rPr>
        <w:t>identified political stability, the inflation rate, trade openness, the exchange rate, market size, and the interest rate as determinants for FDI, and found that “political stability, trade openness, and market size has [a] positive relationship with FDI inflows of the country”, and the inverse was true of the other variables identified. Taylor et al</w:t>
      </w:r>
      <w:r w:rsidR="00E57E94">
        <w:rPr>
          <w:rFonts w:ascii="Arial" w:eastAsia="Times New Roman" w:hAnsi="Arial" w:cs="Arial"/>
          <w:color w:val="000000"/>
          <w:kern w:val="0"/>
          <w14:ligatures w14:val="none"/>
        </w:rPr>
        <w:t>.,</w:t>
      </w:r>
      <w:r w:rsidRPr="00242429">
        <w:rPr>
          <w:rFonts w:ascii="Arial" w:eastAsia="Times New Roman" w:hAnsi="Arial" w:cs="Arial"/>
          <w:color w:val="000000"/>
          <w:kern w:val="0"/>
          <w14:ligatures w14:val="none"/>
        </w:rPr>
        <w:t xml:space="preserve"> (2022) found that the volatility of currency impacts a domestic firm's technological innovation. “We argue that FX volatility may deter firm-level innovation activities through two potential economic mechanisms: precautionary savings and trade slowdown.” In essence, as the volatility of the currency increases (and thus the volatility of the exchange rate of said currency increases), the rate of technological innovation (in the forms of research and development (R&amp;D)</w:t>
      </w:r>
      <w:r w:rsidR="00E57E94">
        <w:rPr>
          <w:rFonts w:ascii="Arial" w:eastAsia="Times New Roman" w:hAnsi="Arial" w:cs="Arial"/>
          <w:color w:val="000000"/>
          <w:kern w:val="0"/>
          <w14:ligatures w14:val="none"/>
        </w:rPr>
        <w:t>)</w:t>
      </w:r>
      <w:r w:rsidRPr="00242429">
        <w:rPr>
          <w:rFonts w:ascii="Arial" w:eastAsia="Times New Roman" w:hAnsi="Arial" w:cs="Arial"/>
          <w:color w:val="000000"/>
          <w:kern w:val="0"/>
          <w14:ligatures w14:val="none"/>
        </w:rPr>
        <w:t xml:space="preserve"> decreases. </w:t>
      </w:r>
    </w:p>
    <w:p w14:paraId="63B7E334" w14:textId="52B1CAEB" w:rsidR="00242429" w:rsidRPr="00242429" w:rsidRDefault="00242429" w:rsidP="00242429">
      <w:pPr>
        <w:spacing w:after="0" w:line="480" w:lineRule="auto"/>
        <w:jc w:val="both"/>
        <w:rPr>
          <w:rFonts w:ascii="Times New Roman" w:eastAsia="Times New Roman" w:hAnsi="Times New Roman" w:cs="Times New Roman"/>
          <w:kern w:val="0"/>
          <w14:ligatures w14:val="none"/>
        </w:rPr>
      </w:pPr>
      <w:r w:rsidRPr="00242429">
        <w:rPr>
          <w:rFonts w:ascii="Arial" w:eastAsia="Times New Roman" w:hAnsi="Arial" w:cs="Arial"/>
          <w:color w:val="000000"/>
          <w:kern w:val="0"/>
          <w14:ligatures w14:val="none"/>
        </w:rPr>
        <w:tab/>
      </w:r>
      <w:r w:rsidR="00F76EC4">
        <w:rPr>
          <w:rFonts w:ascii="Arial" w:eastAsia="Times New Roman" w:hAnsi="Arial" w:cs="Arial"/>
          <w:color w:val="000000"/>
          <w:kern w:val="0"/>
          <w14:ligatures w14:val="none"/>
        </w:rPr>
        <w:t>To</w:t>
      </w:r>
      <w:r w:rsidRPr="00242429">
        <w:rPr>
          <w:rFonts w:ascii="Arial" w:eastAsia="Times New Roman" w:hAnsi="Arial" w:cs="Arial"/>
          <w:color w:val="000000"/>
          <w:kern w:val="0"/>
          <w14:ligatures w14:val="none"/>
        </w:rPr>
        <w:t xml:space="preserve"> enumerate the sheer totality of the number of variables involved, Nguyen and Cieślik (2020) was evaluated. Nguyen and Cieślik examined 38 countries (from Europe to Asia) from </w:t>
      </w:r>
      <w:r w:rsidRPr="00242429">
        <w:rPr>
          <w:rFonts w:ascii="Arial" w:eastAsia="Times New Roman" w:hAnsi="Arial" w:cs="Arial"/>
          <w:color w:val="000000"/>
          <w:kern w:val="0"/>
          <w14:ligatures w14:val="none"/>
        </w:rPr>
        <w:t>1995-2013 and</w:t>
      </w:r>
      <w:r w:rsidRPr="00242429">
        <w:rPr>
          <w:rFonts w:ascii="Arial" w:eastAsia="Times New Roman" w:hAnsi="Arial" w:cs="Arial"/>
          <w:color w:val="000000"/>
          <w:kern w:val="0"/>
          <w14:ligatures w14:val="none"/>
        </w:rPr>
        <w:t xml:space="preserve"> identified various variables that are potential suspects for FDI determination. These variables include total income, market size, skilled labor endowments, investment costs, trade costs, exchange rate volatility, a common language, bilateral investment treaties, </w:t>
      </w:r>
      <w:r w:rsidR="00E57E94">
        <w:rPr>
          <w:rFonts w:ascii="Arial" w:eastAsia="Times New Roman" w:hAnsi="Arial" w:cs="Arial"/>
          <w:color w:val="000000"/>
          <w:kern w:val="0"/>
          <w14:ligatures w14:val="none"/>
        </w:rPr>
        <w:t xml:space="preserve">a </w:t>
      </w:r>
      <w:r w:rsidRPr="00242429">
        <w:rPr>
          <w:rFonts w:ascii="Arial" w:eastAsia="Times New Roman" w:hAnsi="Arial" w:cs="Arial"/>
          <w:color w:val="000000"/>
          <w:kern w:val="0"/>
          <w14:ligatures w14:val="none"/>
        </w:rPr>
        <w:t xml:space="preserve">historical colonial relationship, geographic regions, exchange rate regimes, the given nation’s Eurozone status, and the governance apparatus were all considered. Nguyen and Cieślik, for estimation methods, employ the </w:t>
      </w:r>
      <w:r w:rsidRPr="00242429">
        <w:rPr>
          <w:rFonts w:ascii="Arial" w:eastAsia="Times New Roman" w:hAnsi="Arial" w:cs="Arial"/>
          <w:color w:val="000000"/>
          <w:kern w:val="0"/>
          <w14:ligatures w14:val="none"/>
        </w:rPr>
        <w:lastRenderedPageBreak/>
        <w:t>Poisson-pseudo maximum likelihood (PPML), fixed effects (FE), random effects (RE), and RE Tobit. They found that 1) market size and total income are vital in encouraging horizontal FDI, 2) the “difference in skilled labor endowments between the European source and the Asian host countries has a positive impact on vertical FDI from Europe to Asia”, 3) “investment costs, trade costs, and exchange rate volatility are negatively correlated to FDI”, 4) the aforementioned “common language, bilateral investment treaty, and the mutual historical colonial relationship encourages FDI from Europe to Asia”, and 5) “heterogenous governance system, and source countries’ Eurozone membership lead to differences in empirical findings”. However, the impact of exchange rate volatility was only found to be statistically significant in Southeast Asian Countries. </w:t>
      </w:r>
    </w:p>
    <w:p w14:paraId="726DA7C0" w14:textId="5FF54273" w:rsidR="00242429" w:rsidRPr="00242429" w:rsidRDefault="00242429" w:rsidP="002E2E4F">
      <w:pPr>
        <w:spacing w:after="0" w:line="480" w:lineRule="auto"/>
        <w:ind w:firstLine="720"/>
        <w:jc w:val="both"/>
        <w:rPr>
          <w:rFonts w:ascii="Times New Roman" w:eastAsia="Times New Roman" w:hAnsi="Times New Roman" w:cs="Times New Roman"/>
          <w:kern w:val="0"/>
          <w14:ligatures w14:val="none"/>
        </w:rPr>
      </w:pPr>
      <w:r w:rsidRPr="00242429">
        <w:rPr>
          <w:rFonts w:ascii="Arial" w:eastAsia="Times New Roman" w:hAnsi="Arial" w:cs="Arial"/>
          <w:color w:val="000000"/>
          <w:kern w:val="0"/>
          <w14:ligatures w14:val="none"/>
        </w:rPr>
        <w:t>Hanusch et al</w:t>
      </w:r>
      <w:r w:rsidR="00E57E94">
        <w:rPr>
          <w:rFonts w:ascii="Arial" w:eastAsia="Times New Roman" w:hAnsi="Arial" w:cs="Arial"/>
          <w:color w:val="000000"/>
          <w:kern w:val="0"/>
          <w14:ligatures w14:val="none"/>
        </w:rPr>
        <w:t>.,</w:t>
      </w:r>
      <w:r w:rsidRPr="00242429">
        <w:rPr>
          <w:rFonts w:ascii="Arial" w:eastAsia="Times New Roman" w:hAnsi="Arial" w:cs="Arial"/>
          <w:color w:val="000000"/>
          <w:kern w:val="0"/>
          <w14:ligatures w14:val="none"/>
        </w:rPr>
        <w:t xml:space="preserve"> (2018)</w:t>
      </w:r>
      <w:r w:rsidR="00E57E94">
        <w:rPr>
          <w:rFonts w:ascii="Arial" w:eastAsia="Times New Roman" w:hAnsi="Arial" w:cs="Arial"/>
          <w:color w:val="000000"/>
          <w:kern w:val="0"/>
          <w14:ligatures w14:val="none"/>
        </w:rPr>
        <w:t>,</w:t>
      </w:r>
      <w:r w:rsidRPr="00242429">
        <w:rPr>
          <w:rFonts w:ascii="Arial" w:eastAsia="Times New Roman" w:hAnsi="Arial" w:cs="Arial"/>
          <w:color w:val="000000"/>
          <w:kern w:val="0"/>
          <w14:ligatures w14:val="none"/>
        </w:rPr>
        <w:t xml:space="preserve"> in a panel of 80 developing and developed countries employing the period from 1990 to 2015, found a negative relationship between “de facto exchange rate” and FDI. Moreover, the authors suggest that “reducing exchange rate volatility by 10 percent over one year can boost FDI inflows – ceteris paribus – by an estimated 0.48 percentage points of GDP while the same reduction over the past five years can boost FDI inflows by 0.27 percentage points over the long-run”. Thus, not only do the authors suggest that the volatility of the exchange rate influences FDI, but that it does so in the short-run and in the long-run. Although Hanusch., et al (2018) implies that exchange rate volatility influences FDI in the short-run and the long-run for the 80 developed and developing countries, how does one explain the findings of Nguyen and Cieślik?</w:t>
      </w:r>
    </w:p>
    <w:p w14:paraId="73C9688F" w14:textId="056AD3B8" w:rsidR="00242429" w:rsidRPr="00242429" w:rsidRDefault="00242429" w:rsidP="00242429">
      <w:pPr>
        <w:spacing w:after="0" w:line="480" w:lineRule="auto"/>
        <w:ind w:firstLine="720"/>
        <w:jc w:val="both"/>
        <w:rPr>
          <w:rFonts w:ascii="Times New Roman" w:eastAsia="Times New Roman" w:hAnsi="Times New Roman" w:cs="Times New Roman"/>
          <w:kern w:val="0"/>
          <w14:ligatures w14:val="none"/>
        </w:rPr>
      </w:pPr>
      <w:r w:rsidRPr="00242429">
        <w:rPr>
          <w:rFonts w:ascii="Arial" w:eastAsia="Times New Roman" w:hAnsi="Arial" w:cs="Arial"/>
          <w:color w:val="000000"/>
          <w:kern w:val="0"/>
          <w14:ligatures w14:val="none"/>
        </w:rPr>
        <w:t>Ahmed et al</w:t>
      </w:r>
      <w:r w:rsidR="00E57E94">
        <w:rPr>
          <w:rFonts w:ascii="Arial" w:eastAsia="Times New Roman" w:hAnsi="Arial" w:cs="Arial"/>
          <w:color w:val="000000"/>
          <w:kern w:val="0"/>
          <w14:ligatures w14:val="none"/>
        </w:rPr>
        <w:t>.,</w:t>
      </w:r>
      <w:r w:rsidRPr="00242429">
        <w:rPr>
          <w:rFonts w:ascii="Arial" w:eastAsia="Times New Roman" w:hAnsi="Arial" w:cs="Arial"/>
          <w:color w:val="000000"/>
          <w:kern w:val="0"/>
          <w14:ligatures w14:val="none"/>
        </w:rPr>
        <w:t xml:space="preserve"> (2019) examined the impact of exchange rate volatility on FDI inflows for two countries: Morocco and Turkey. Morocco represents a small-nation model, </w:t>
      </w:r>
      <w:r w:rsidRPr="00242429">
        <w:rPr>
          <w:rFonts w:ascii="Arial" w:eastAsia="Times New Roman" w:hAnsi="Arial" w:cs="Arial"/>
          <w:color w:val="000000"/>
          <w:kern w:val="0"/>
          <w14:ligatures w14:val="none"/>
        </w:rPr>
        <w:lastRenderedPageBreak/>
        <w:t>contrary to Turkey. They observed that, for the period 1990 to 2017, for Morocco specifically, “[...] in both short and long-term, real exchange rate volatility is negative and highly significant.” In contrast, for Turkey, “FDI inflows are found more elastic to domestic price fluctuations. The exchange rate volatility, instead, turned out to have a positive but insignificant effect.” Furthermore, the authors suggest that there is more at play, particularly “potential market size, institution quality, and infrastructure”. </w:t>
      </w:r>
      <w:r w:rsidR="002E2E4F">
        <w:rPr>
          <w:rFonts w:ascii="Arial" w:eastAsia="Times New Roman" w:hAnsi="Arial" w:cs="Arial"/>
          <w:color w:val="000000"/>
          <w:kern w:val="0"/>
          <w14:ligatures w14:val="none"/>
        </w:rPr>
        <w:t xml:space="preserve">Canada, a large nation, also seems to be influenced </w:t>
      </w:r>
      <w:r w:rsidR="007949ED">
        <w:rPr>
          <w:rFonts w:ascii="Arial" w:eastAsia="Times New Roman" w:hAnsi="Arial" w:cs="Arial"/>
          <w:i/>
          <w:iCs/>
          <w:color w:val="000000"/>
          <w:kern w:val="0"/>
          <w14:ligatures w14:val="none"/>
        </w:rPr>
        <w:t xml:space="preserve">positively </w:t>
      </w:r>
      <w:r w:rsidR="002E2E4F">
        <w:rPr>
          <w:rFonts w:ascii="Arial" w:eastAsia="Times New Roman" w:hAnsi="Arial" w:cs="Arial"/>
          <w:color w:val="000000"/>
          <w:kern w:val="0"/>
          <w14:ligatures w14:val="none"/>
        </w:rPr>
        <w:t>by exchange rate volatility in both the short and long-run (Lajevardi 2024)</w:t>
      </w:r>
      <w:r w:rsidR="007949ED">
        <w:rPr>
          <w:rFonts w:ascii="Arial" w:eastAsia="Times New Roman" w:hAnsi="Arial" w:cs="Arial"/>
          <w:color w:val="000000"/>
          <w:kern w:val="0"/>
          <w14:ligatures w14:val="none"/>
        </w:rPr>
        <w:t>, much like what Ahmed found</w:t>
      </w:r>
      <w:r w:rsidR="002E2E4F">
        <w:rPr>
          <w:rFonts w:ascii="Arial" w:eastAsia="Times New Roman" w:hAnsi="Arial" w:cs="Arial"/>
          <w:color w:val="000000"/>
          <w:kern w:val="0"/>
          <w14:ligatures w14:val="none"/>
        </w:rPr>
        <w:t xml:space="preserve">.  </w:t>
      </w:r>
    </w:p>
    <w:p w14:paraId="10BD20E0" w14:textId="77777777" w:rsidR="00242429" w:rsidRPr="00242429" w:rsidRDefault="00242429" w:rsidP="00242429">
      <w:pPr>
        <w:spacing w:after="0" w:line="480" w:lineRule="auto"/>
        <w:jc w:val="both"/>
        <w:rPr>
          <w:rFonts w:ascii="Times New Roman" w:eastAsia="Times New Roman" w:hAnsi="Times New Roman" w:cs="Times New Roman"/>
          <w:kern w:val="0"/>
          <w14:ligatures w14:val="none"/>
        </w:rPr>
      </w:pPr>
      <w:r w:rsidRPr="00242429">
        <w:rPr>
          <w:rFonts w:ascii="Arial" w:eastAsia="Times New Roman" w:hAnsi="Arial" w:cs="Arial"/>
          <w:b/>
          <w:bCs/>
          <w:color w:val="000000"/>
          <w:kern w:val="0"/>
          <w14:ligatures w14:val="none"/>
        </w:rPr>
        <w:t xml:space="preserve">2.2 </w:t>
      </w:r>
      <w:r w:rsidRPr="00242429">
        <w:rPr>
          <w:rFonts w:ascii="Arial" w:eastAsia="Times New Roman" w:hAnsi="Arial" w:cs="Arial"/>
          <w:color w:val="000000"/>
          <w:kern w:val="0"/>
          <w14:ligatures w14:val="none"/>
        </w:rPr>
        <w:t>Exchange Rate Volatility</w:t>
      </w:r>
    </w:p>
    <w:p w14:paraId="42A2ECA5" w14:textId="741C1070" w:rsidR="00242429" w:rsidRPr="00242429" w:rsidRDefault="00242429" w:rsidP="00242429">
      <w:pPr>
        <w:spacing w:after="0" w:line="480" w:lineRule="auto"/>
        <w:jc w:val="both"/>
        <w:rPr>
          <w:rFonts w:ascii="Times New Roman" w:eastAsia="Times New Roman" w:hAnsi="Times New Roman" w:cs="Times New Roman"/>
          <w:kern w:val="0"/>
          <w14:ligatures w14:val="none"/>
        </w:rPr>
      </w:pPr>
      <w:r w:rsidRPr="00242429">
        <w:rPr>
          <w:rFonts w:ascii="Arial" w:eastAsia="Times New Roman" w:hAnsi="Arial" w:cs="Arial"/>
          <w:color w:val="000000"/>
          <w:kern w:val="0"/>
          <w14:ligatures w14:val="none"/>
        </w:rPr>
        <w:tab/>
        <w:t>Although Ahmed et al.</w:t>
      </w:r>
      <w:r w:rsidR="007949ED">
        <w:rPr>
          <w:rFonts w:ascii="Arial" w:eastAsia="Times New Roman" w:hAnsi="Arial" w:cs="Arial"/>
          <w:color w:val="000000"/>
          <w:kern w:val="0"/>
          <w14:ligatures w14:val="none"/>
        </w:rPr>
        <w:t>,</w:t>
      </w:r>
      <w:r w:rsidRPr="00242429">
        <w:rPr>
          <w:rFonts w:ascii="Arial" w:eastAsia="Times New Roman" w:hAnsi="Arial" w:cs="Arial"/>
          <w:color w:val="000000"/>
          <w:kern w:val="0"/>
          <w14:ligatures w14:val="none"/>
        </w:rPr>
        <w:t xml:space="preserve"> (2019) implied a lack of explanatory power for a larger country model, Nakagawa et al.</w:t>
      </w:r>
      <w:r w:rsidR="007949ED">
        <w:rPr>
          <w:rFonts w:ascii="Arial" w:eastAsia="Times New Roman" w:hAnsi="Arial" w:cs="Arial"/>
          <w:color w:val="000000"/>
          <w:kern w:val="0"/>
          <w14:ligatures w14:val="none"/>
        </w:rPr>
        <w:t>,</w:t>
      </w:r>
      <w:r w:rsidRPr="00242429">
        <w:rPr>
          <w:rFonts w:ascii="Arial" w:eastAsia="Times New Roman" w:hAnsi="Arial" w:cs="Arial"/>
          <w:color w:val="000000"/>
          <w:kern w:val="0"/>
          <w14:ligatures w14:val="none"/>
        </w:rPr>
        <w:t xml:space="preserve"> (2022) analyzed the lack of empirical evidence regarding exchange rate fluctuations influencing FDI decisions. Although the relationship between the exchange rate and FDI is established in theory, the authors identify three issues in the prevailing literature: 1) FDI is often treated as a continuous variable, which does not consider the discrete (or binary) nature of actual investment decisions. 2) FDI data are typically aggregated, which obscures the more detailed firm-level relationship between exchange rates and FDI. 3) The regression models typically used may not be appropriate due to the different time-series properties of exchange rates and FDI data. The authors suggest that the study conduct a more novel approach, wherein they utilize a discrete choice model with a mixed application to better capture the discrete nature of investment decisions and the heterogeneity between firms, as well as emphasizing the cross-sectional dimension to mitigate the issues arising from the aforementioned time-series analysis, and, finally, employ firm-level location choice data and real exchange rate data </w:t>
      </w:r>
      <w:r w:rsidRPr="00242429">
        <w:rPr>
          <w:rFonts w:ascii="Arial" w:eastAsia="Times New Roman" w:hAnsi="Arial" w:cs="Arial"/>
          <w:color w:val="000000"/>
          <w:kern w:val="0"/>
          <w14:ligatures w14:val="none"/>
        </w:rPr>
        <w:lastRenderedPageBreak/>
        <w:t>to reflect international price level differences, allowing for the previously alluded to methodological improvements. After implementing these methodological improvements, the study conducts an empirical analysis “using firm-level data on the location choice of Chinese outward FDI during 2005-2016.” The authors conclude that “Our estimation results detect a significant exchange rate effect not accounted for previously, explaining why the evidence for the effect has been mixed across studies.” </w:t>
      </w:r>
    </w:p>
    <w:p w14:paraId="54308528" w14:textId="6E48F52F" w:rsidR="00222D17" w:rsidRPr="00242429" w:rsidRDefault="00242429" w:rsidP="00242429">
      <w:pPr>
        <w:spacing w:after="0" w:line="480" w:lineRule="auto"/>
        <w:jc w:val="both"/>
        <w:rPr>
          <w:rFonts w:ascii="Arial" w:eastAsia="Times New Roman" w:hAnsi="Arial" w:cs="Arial"/>
          <w:color w:val="000000"/>
          <w:kern w:val="0"/>
          <w14:ligatures w14:val="none"/>
        </w:rPr>
      </w:pPr>
      <w:r w:rsidRPr="00242429">
        <w:rPr>
          <w:rFonts w:ascii="Arial" w:eastAsia="Times New Roman" w:hAnsi="Arial" w:cs="Arial"/>
          <w:color w:val="000000"/>
          <w:kern w:val="0"/>
          <w14:ligatures w14:val="none"/>
        </w:rPr>
        <w:tab/>
        <w:t>Balaban et al.</w:t>
      </w:r>
      <w:r w:rsidR="007949ED">
        <w:rPr>
          <w:rFonts w:ascii="Arial" w:eastAsia="Times New Roman" w:hAnsi="Arial" w:cs="Arial"/>
          <w:color w:val="000000"/>
          <w:kern w:val="0"/>
          <w14:ligatures w14:val="none"/>
        </w:rPr>
        <w:t>,</w:t>
      </w:r>
      <w:r w:rsidRPr="00242429">
        <w:rPr>
          <w:rFonts w:ascii="Arial" w:eastAsia="Times New Roman" w:hAnsi="Arial" w:cs="Arial"/>
          <w:color w:val="000000"/>
          <w:kern w:val="0"/>
          <w14:ligatures w14:val="none"/>
        </w:rPr>
        <w:t xml:space="preserve"> (2019) found that there is an unexplained component of the real exchange rate volatility that affects FDI. The authors concluded that there is a negative impact of high exchange rate volatility on FDI in the manufacturing sector, but that exchange rate volatility is not a statistically significant determinant of FDI in the transport and communications sectors – and the choice of the volatility measure does not affect the results. </w:t>
      </w:r>
    </w:p>
    <w:p w14:paraId="37F032AB" w14:textId="77777777" w:rsidR="00242429" w:rsidRPr="00242429" w:rsidRDefault="00242429" w:rsidP="00242429">
      <w:pPr>
        <w:spacing w:after="0" w:line="480" w:lineRule="auto"/>
        <w:jc w:val="both"/>
        <w:rPr>
          <w:rFonts w:ascii="Times New Roman" w:eastAsia="Times New Roman" w:hAnsi="Times New Roman" w:cs="Times New Roman"/>
          <w:kern w:val="0"/>
          <w14:ligatures w14:val="none"/>
        </w:rPr>
      </w:pPr>
      <w:r w:rsidRPr="00242429">
        <w:rPr>
          <w:rFonts w:ascii="Arial" w:eastAsia="Times New Roman" w:hAnsi="Arial" w:cs="Arial"/>
          <w:b/>
          <w:bCs/>
          <w:color w:val="000000"/>
          <w:kern w:val="0"/>
          <w14:ligatures w14:val="none"/>
        </w:rPr>
        <w:t xml:space="preserve">2.3 </w:t>
      </w:r>
      <w:r w:rsidRPr="00242429">
        <w:rPr>
          <w:rFonts w:ascii="Arial" w:eastAsia="Times New Roman" w:hAnsi="Arial" w:cs="Arial"/>
          <w:color w:val="000000"/>
          <w:kern w:val="0"/>
          <w14:ligatures w14:val="none"/>
        </w:rPr>
        <w:t>Small Nation, Large Nation</w:t>
      </w:r>
    </w:p>
    <w:p w14:paraId="14D49906" w14:textId="2ADBAC27" w:rsidR="00242429" w:rsidRPr="00242429" w:rsidRDefault="00242429" w:rsidP="00242429">
      <w:pPr>
        <w:spacing w:after="0" w:line="480" w:lineRule="auto"/>
        <w:ind w:firstLine="720"/>
        <w:jc w:val="both"/>
        <w:rPr>
          <w:rFonts w:ascii="Times New Roman" w:eastAsia="Times New Roman" w:hAnsi="Times New Roman" w:cs="Times New Roman"/>
          <w:kern w:val="0"/>
          <w14:ligatures w14:val="none"/>
        </w:rPr>
      </w:pPr>
      <w:r w:rsidRPr="00242429">
        <w:rPr>
          <w:rFonts w:ascii="Arial" w:eastAsia="Times New Roman" w:hAnsi="Arial" w:cs="Arial"/>
          <w:color w:val="000000"/>
          <w:kern w:val="0"/>
          <w14:ligatures w14:val="none"/>
        </w:rPr>
        <w:t xml:space="preserve">As previously alluded to by Chandra, Nguyen and Cieślik, and Ahmed, market size has a stark influence on FDI. </w:t>
      </w:r>
      <w:r w:rsidRPr="00242429">
        <w:rPr>
          <w:rFonts w:ascii="Arial" w:eastAsia="Times New Roman" w:hAnsi="Arial" w:cs="Arial"/>
          <w:color w:val="000000"/>
          <w:kern w:val="0"/>
          <w14:ligatures w14:val="none"/>
        </w:rPr>
        <w:t>To</w:t>
      </w:r>
      <w:r w:rsidRPr="00242429">
        <w:rPr>
          <w:rFonts w:ascii="Arial" w:eastAsia="Times New Roman" w:hAnsi="Arial" w:cs="Arial"/>
          <w:color w:val="000000"/>
          <w:kern w:val="0"/>
          <w14:ligatures w14:val="none"/>
        </w:rPr>
        <w:t xml:space="preserve"> minimize various confounding variables – and to choose two nations that are different sizes in international economics, one must choose two similar countries wherein one falls under the large nation model and the other falls under the small nation model. This is the rationale for the two countries to be examined: Germany and Austria. Germany and Austria fit the large nation and small nation model respectively, have a shared language (hochdeutsch), are politically stable, geographically similar, switched to the Euro in 1999, have similar HDI rankings, and have eerily similar Fragile State Index rankings (in 2023, according to the Fragile States Index, Germany was 24.6 and Austria was 22.0). </w:t>
      </w:r>
    </w:p>
    <w:p w14:paraId="3AFF38EC" w14:textId="77777777" w:rsidR="00242429" w:rsidRPr="00242429" w:rsidRDefault="00242429" w:rsidP="00242429">
      <w:pPr>
        <w:spacing w:after="0" w:line="480" w:lineRule="auto"/>
        <w:jc w:val="both"/>
        <w:rPr>
          <w:rFonts w:ascii="Times New Roman" w:eastAsia="Times New Roman" w:hAnsi="Times New Roman" w:cs="Times New Roman"/>
          <w:kern w:val="0"/>
          <w14:ligatures w14:val="none"/>
        </w:rPr>
      </w:pPr>
      <w:r w:rsidRPr="00242429">
        <w:rPr>
          <w:rFonts w:ascii="Arial" w:eastAsia="Times New Roman" w:hAnsi="Arial" w:cs="Arial"/>
          <w:b/>
          <w:bCs/>
          <w:color w:val="000000"/>
          <w:kern w:val="0"/>
          <w:sz w:val="28"/>
          <w:szCs w:val="28"/>
          <w14:ligatures w14:val="none"/>
        </w:rPr>
        <w:lastRenderedPageBreak/>
        <w:t>3. RESEARCH METHODOLOGY</w:t>
      </w:r>
    </w:p>
    <w:p w14:paraId="6C3782FC" w14:textId="77777777" w:rsidR="00242429" w:rsidRPr="00242429" w:rsidRDefault="00242429" w:rsidP="00242429">
      <w:pPr>
        <w:spacing w:after="0" w:line="480" w:lineRule="auto"/>
        <w:jc w:val="both"/>
        <w:rPr>
          <w:rFonts w:ascii="Times New Roman" w:eastAsia="Times New Roman" w:hAnsi="Times New Roman" w:cs="Times New Roman"/>
          <w:kern w:val="0"/>
          <w14:ligatures w14:val="none"/>
        </w:rPr>
      </w:pPr>
      <w:r w:rsidRPr="00242429">
        <w:rPr>
          <w:rFonts w:ascii="Arial" w:eastAsia="Times New Roman" w:hAnsi="Arial" w:cs="Arial"/>
          <w:b/>
          <w:bCs/>
          <w:color w:val="000000"/>
          <w:kern w:val="0"/>
          <w14:ligatures w14:val="none"/>
        </w:rPr>
        <w:t xml:space="preserve">3.1 </w:t>
      </w:r>
      <w:r w:rsidRPr="00242429">
        <w:rPr>
          <w:rFonts w:ascii="Arial" w:eastAsia="Times New Roman" w:hAnsi="Arial" w:cs="Arial"/>
          <w:color w:val="000000"/>
          <w:kern w:val="0"/>
          <w14:ligatures w14:val="none"/>
        </w:rPr>
        <w:t>General Methods</w:t>
      </w:r>
    </w:p>
    <w:p w14:paraId="28A8E1CD" w14:textId="6D8148B1" w:rsidR="00242429" w:rsidRPr="00242429" w:rsidRDefault="00242429" w:rsidP="00242429">
      <w:pPr>
        <w:spacing w:after="0" w:line="480" w:lineRule="auto"/>
        <w:jc w:val="both"/>
        <w:rPr>
          <w:rFonts w:ascii="Times New Roman" w:eastAsia="Times New Roman" w:hAnsi="Times New Roman" w:cs="Times New Roman"/>
          <w:kern w:val="0"/>
          <w14:ligatures w14:val="none"/>
        </w:rPr>
      </w:pPr>
      <w:r w:rsidRPr="00242429">
        <w:rPr>
          <w:rFonts w:ascii="Arial" w:eastAsia="Times New Roman" w:hAnsi="Arial" w:cs="Arial"/>
          <w:color w:val="000000"/>
          <w:kern w:val="0"/>
          <w14:ligatures w14:val="none"/>
        </w:rPr>
        <w:tab/>
        <w:t xml:space="preserve">The aforementioned rationale for the selection of the small and large nation allows for a quasi-comparison of the relative impacts of the following independent variables in FDI. From the </w:t>
      </w:r>
      <w:r w:rsidRPr="00242429">
        <w:rPr>
          <w:rFonts w:ascii="Arial" w:eastAsia="Times New Roman" w:hAnsi="Arial" w:cs="Arial"/>
          <w:color w:val="000000"/>
          <w:kern w:val="0"/>
          <w14:ligatures w14:val="none"/>
        </w:rPr>
        <w:t>period</w:t>
      </w:r>
      <w:r w:rsidRPr="00242429">
        <w:rPr>
          <w:rFonts w:ascii="Arial" w:eastAsia="Times New Roman" w:hAnsi="Arial" w:cs="Arial"/>
          <w:color w:val="000000"/>
          <w:kern w:val="0"/>
          <w14:ligatures w14:val="none"/>
        </w:rPr>
        <w:t xml:space="preserve"> of 1990 to 2023, data, when available, was gathered. The dependent variable for both Austria and Germany were net FDI inflows. There were six independent variables: Exchange Rate Volatility</w:t>
      </w:r>
      <w:r w:rsidRPr="00242429">
        <w:rPr>
          <w:rFonts w:ascii="Arial" w:eastAsia="Times New Roman" w:hAnsi="Arial" w:cs="Arial"/>
          <w:color w:val="000000"/>
          <w:kern w:val="0"/>
          <w:sz w:val="14"/>
          <w:szCs w:val="14"/>
          <w:vertAlign w:val="superscript"/>
          <w14:ligatures w14:val="none"/>
        </w:rPr>
        <w:t>IV1</w:t>
      </w:r>
      <w:r w:rsidRPr="00242429">
        <w:rPr>
          <w:rFonts w:ascii="Arial" w:eastAsia="Times New Roman" w:hAnsi="Arial" w:cs="Arial"/>
          <w:color w:val="000000"/>
          <w:kern w:val="0"/>
          <w14:ligatures w14:val="none"/>
        </w:rPr>
        <w:t>, Real GDP</w:t>
      </w:r>
      <w:r w:rsidRPr="00242429">
        <w:rPr>
          <w:rFonts w:ascii="Arial" w:eastAsia="Times New Roman" w:hAnsi="Arial" w:cs="Arial"/>
          <w:color w:val="000000"/>
          <w:kern w:val="0"/>
          <w:sz w:val="14"/>
          <w:szCs w:val="14"/>
          <w:vertAlign w:val="superscript"/>
          <w14:ligatures w14:val="none"/>
        </w:rPr>
        <w:t>IV2</w:t>
      </w:r>
      <w:r w:rsidRPr="00242429">
        <w:rPr>
          <w:rFonts w:ascii="Arial" w:eastAsia="Times New Roman" w:hAnsi="Arial" w:cs="Arial"/>
          <w:color w:val="000000"/>
          <w:kern w:val="0"/>
          <w14:ligatures w14:val="none"/>
        </w:rPr>
        <w:t>, Trade Balance</w:t>
      </w:r>
      <w:r w:rsidRPr="00242429">
        <w:rPr>
          <w:rFonts w:ascii="Arial" w:eastAsia="Times New Roman" w:hAnsi="Arial" w:cs="Arial"/>
          <w:color w:val="000000"/>
          <w:kern w:val="0"/>
          <w:sz w:val="14"/>
          <w:szCs w:val="14"/>
          <w:vertAlign w:val="superscript"/>
          <w14:ligatures w14:val="none"/>
        </w:rPr>
        <w:t>IV3</w:t>
      </w:r>
      <w:r w:rsidRPr="00242429">
        <w:rPr>
          <w:rFonts w:ascii="Arial" w:eastAsia="Times New Roman" w:hAnsi="Arial" w:cs="Arial"/>
          <w:color w:val="000000"/>
          <w:kern w:val="0"/>
          <w14:ligatures w14:val="none"/>
        </w:rPr>
        <w:t>, Technological Innovation</w:t>
      </w:r>
      <w:r w:rsidRPr="00242429">
        <w:rPr>
          <w:rFonts w:ascii="Arial" w:eastAsia="Times New Roman" w:hAnsi="Arial" w:cs="Arial"/>
          <w:color w:val="000000"/>
          <w:kern w:val="0"/>
          <w:sz w:val="14"/>
          <w:szCs w:val="14"/>
          <w:vertAlign w:val="superscript"/>
          <w14:ligatures w14:val="none"/>
        </w:rPr>
        <w:t>IV4</w:t>
      </w:r>
      <w:r w:rsidRPr="00242429">
        <w:rPr>
          <w:rFonts w:ascii="Arial" w:eastAsia="Times New Roman" w:hAnsi="Arial" w:cs="Arial"/>
          <w:color w:val="000000"/>
          <w:kern w:val="0"/>
          <w14:ligatures w14:val="none"/>
        </w:rPr>
        <w:t>, Human Development Index (HDI)</w:t>
      </w:r>
      <w:r w:rsidRPr="00242429">
        <w:rPr>
          <w:rFonts w:ascii="Arial" w:eastAsia="Times New Roman" w:hAnsi="Arial" w:cs="Arial"/>
          <w:color w:val="000000"/>
          <w:kern w:val="0"/>
          <w:sz w:val="14"/>
          <w:szCs w:val="14"/>
          <w:vertAlign w:val="superscript"/>
          <w14:ligatures w14:val="none"/>
        </w:rPr>
        <w:t>IV5</w:t>
      </w:r>
      <w:r w:rsidRPr="00242429">
        <w:rPr>
          <w:rFonts w:ascii="Arial" w:eastAsia="Times New Roman" w:hAnsi="Arial" w:cs="Arial"/>
          <w:color w:val="000000"/>
          <w:kern w:val="0"/>
          <w14:ligatures w14:val="none"/>
        </w:rPr>
        <w:t>, and Political Stability (WGI)</w:t>
      </w:r>
      <w:r w:rsidRPr="00242429">
        <w:rPr>
          <w:rFonts w:ascii="Arial" w:eastAsia="Times New Roman" w:hAnsi="Arial" w:cs="Arial"/>
          <w:color w:val="000000"/>
          <w:kern w:val="0"/>
          <w:sz w:val="14"/>
          <w:szCs w:val="14"/>
          <w:vertAlign w:val="superscript"/>
          <w14:ligatures w14:val="none"/>
        </w:rPr>
        <w:t>IV6</w:t>
      </w:r>
      <w:r w:rsidRPr="00242429">
        <w:rPr>
          <w:rFonts w:ascii="Arial" w:eastAsia="Times New Roman" w:hAnsi="Arial" w:cs="Arial"/>
          <w:color w:val="000000"/>
          <w:kern w:val="0"/>
          <w14:ligatures w14:val="none"/>
        </w:rPr>
        <w:t xml:space="preserve">. The rationale for not including more independent variables is that both the Human Development Index (HDI) and the Worldwide Governance Indicators (WGI) include a multitude of variables in themselves. These independent variables were, for the data available, put into Microsoft Excel. A correlation coefficient was calculated for each independent variable, and, from this, the T-Statistic and Degrees of Freedom (DoF) were calculated, which led to resulting p-values that determined the statistical significance of </w:t>
      </w:r>
      <w:r w:rsidR="00905DEF">
        <w:rPr>
          <w:rFonts w:ascii="Arial" w:eastAsia="Times New Roman" w:hAnsi="Arial" w:cs="Arial"/>
          <w:color w:val="000000"/>
          <w:kern w:val="0"/>
          <w14:ligatures w14:val="none"/>
        </w:rPr>
        <w:t xml:space="preserve">each </w:t>
      </w:r>
      <w:r w:rsidRPr="00242429">
        <w:rPr>
          <w:rFonts w:ascii="Arial" w:eastAsia="Times New Roman" w:hAnsi="Arial" w:cs="Arial"/>
          <w:color w:val="000000"/>
          <w:kern w:val="0"/>
          <w14:ligatures w14:val="none"/>
        </w:rPr>
        <w:t>correlation</w:t>
      </w:r>
      <w:r w:rsidR="00905DEF">
        <w:rPr>
          <w:rFonts w:ascii="Arial" w:eastAsia="Times New Roman" w:hAnsi="Arial" w:cs="Arial"/>
          <w:color w:val="000000"/>
          <w:kern w:val="0"/>
          <w14:ligatures w14:val="none"/>
        </w:rPr>
        <w:t xml:space="preserve"> coefficient</w:t>
      </w:r>
      <w:r w:rsidRPr="00242429">
        <w:rPr>
          <w:rFonts w:ascii="Arial" w:eastAsia="Times New Roman" w:hAnsi="Arial" w:cs="Arial"/>
          <w:color w:val="000000"/>
          <w:kern w:val="0"/>
          <w14:ligatures w14:val="none"/>
        </w:rPr>
        <w:t>. </w:t>
      </w:r>
    </w:p>
    <w:p w14:paraId="7458B99F" w14:textId="77777777" w:rsidR="00242429" w:rsidRDefault="00242429" w:rsidP="00242429">
      <w:pPr>
        <w:spacing w:after="0" w:line="480" w:lineRule="auto"/>
        <w:jc w:val="both"/>
        <w:rPr>
          <w:rFonts w:ascii="Times New Roman" w:eastAsia="Times New Roman" w:hAnsi="Times New Roman" w:cs="Times New Roman"/>
          <w:kern w:val="0"/>
          <w14:ligatures w14:val="none"/>
        </w:rPr>
      </w:pPr>
      <w:r w:rsidRPr="00242429">
        <w:rPr>
          <w:rFonts w:ascii="Arial" w:eastAsia="Times New Roman" w:hAnsi="Arial" w:cs="Arial"/>
          <w:b/>
          <w:bCs/>
          <w:color w:val="000000"/>
          <w:kern w:val="0"/>
          <w14:ligatures w14:val="none"/>
        </w:rPr>
        <w:t xml:space="preserve">3.2 </w:t>
      </w:r>
      <w:r w:rsidRPr="00242429">
        <w:rPr>
          <w:rFonts w:ascii="Arial" w:eastAsia="Times New Roman" w:hAnsi="Arial" w:cs="Arial"/>
          <w:color w:val="000000"/>
          <w:kern w:val="0"/>
          <w14:ligatures w14:val="none"/>
        </w:rPr>
        <w:t>Correlation Analysis</w:t>
      </w:r>
    </w:p>
    <w:p w14:paraId="0B94DFB3" w14:textId="77FFAA58" w:rsidR="00242429" w:rsidRDefault="00242429" w:rsidP="00242429">
      <w:pPr>
        <w:spacing w:after="0" w:line="480" w:lineRule="auto"/>
        <w:jc w:val="both"/>
        <w:rPr>
          <w:rFonts w:ascii="Arial" w:eastAsia="Times New Roman" w:hAnsi="Arial" w:cs="Arial"/>
          <w:kern w:val="0"/>
          <w14:ligatures w14:val="none"/>
        </w:rPr>
      </w:pPr>
      <w:r>
        <w:rPr>
          <w:rFonts w:ascii="Arial" w:eastAsia="Times New Roman" w:hAnsi="Arial" w:cs="Arial"/>
          <w:kern w:val="0"/>
          <w14:ligatures w14:val="none"/>
        </w:rPr>
        <w:tab/>
        <w:t xml:space="preserve">The correlation analysis led to many interesting indications. Firstly, the differences between Austria and Germany were staggering. In some instances, such as Political Stability (PS), Austria and Germany were indifferentiable. However, for variables such as exchange rate volatility as well as technological innovation, the difference was impossible to overlook. The following </w:t>
      </w:r>
      <w:r w:rsidR="00905DEF">
        <w:rPr>
          <w:rFonts w:ascii="Arial" w:eastAsia="Times New Roman" w:hAnsi="Arial" w:cs="Arial"/>
          <w:kern w:val="0"/>
          <w14:ligatures w14:val="none"/>
        </w:rPr>
        <w:t>are the resulting correlation coefficients and p-values</w:t>
      </w:r>
      <w:r w:rsidR="002E2E4F">
        <w:rPr>
          <w:rFonts w:ascii="Arial" w:eastAsia="Times New Roman" w:hAnsi="Arial" w:cs="Arial"/>
          <w:kern w:val="0"/>
          <w14:ligatures w14:val="none"/>
        </w:rPr>
        <w:t>:</w:t>
      </w:r>
    </w:p>
    <w:p w14:paraId="3734353C" w14:textId="77777777" w:rsidR="002E2E4F" w:rsidRDefault="002E2E4F" w:rsidP="00242429">
      <w:pPr>
        <w:spacing w:after="0" w:line="480" w:lineRule="auto"/>
        <w:jc w:val="both"/>
        <w:rPr>
          <w:rFonts w:ascii="Arial" w:eastAsia="Times New Roman" w:hAnsi="Arial" w:cs="Arial"/>
          <w:kern w:val="0"/>
          <w14:ligatures w14:val="none"/>
        </w:rPr>
      </w:pPr>
    </w:p>
    <w:p w14:paraId="1EB55009" w14:textId="77777777" w:rsidR="002E2E4F" w:rsidRDefault="002E2E4F" w:rsidP="00242429">
      <w:pPr>
        <w:spacing w:after="0" w:line="480" w:lineRule="auto"/>
        <w:jc w:val="both"/>
        <w:rPr>
          <w:rFonts w:ascii="Arial" w:eastAsia="Times New Roman" w:hAnsi="Arial" w:cs="Arial"/>
          <w:kern w:val="0"/>
          <w14:ligatures w14:val="none"/>
        </w:rPr>
      </w:pPr>
    </w:p>
    <w:p w14:paraId="2F29A988" w14:textId="77777777" w:rsidR="002E2E4F" w:rsidRDefault="002E2E4F">
      <w:pPr>
        <w:rPr>
          <w:b/>
          <w:bCs/>
          <w:u w:val="single"/>
        </w:rPr>
      </w:pPr>
    </w:p>
    <w:p w14:paraId="6EA10E85" w14:textId="77777777" w:rsidR="002E2E4F" w:rsidRDefault="002E2E4F">
      <w:pPr>
        <w:rPr>
          <w:b/>
          <w:bCs/>
          <w:u w:val="single"/>
        </w:rPr>
      </w:pPr>
    </w:p>
    <w:p w14:paraId="76DD1ACD" w14:textId="57804342" w:rsidR="00242429" w:rsidRPr="006072B1" w:rsidRDefault="00242429">
      <w:pPr>
        <w:rPr>
          <w:b/>
          <w:bCs/>
          <w:u w:val="single"/>
        </w:rPr>
      </w:pPr>
      <w:r w:rsidRPr="006072B1">
        <w:rPr>
          <w:b/>
          <w:bCs/>
          <w:u w:val="single"/>
        </w:rPr>
        <w:t>Correlation Coefficients</w:t>
      </w:r>
      <w:r w:rsidR="00F76EC4">
        <w:rPr>
          <w:b/>
          <w:bCs/>
          <w:u w:val="single"/>
        </w:rPr>
        <w:t>*</w:t>
      </w:r>
    </w:p>
    <w:tbl>
      <w:tblPr>
        <w:tblStyle w:val="LightShading-Accent1"/>
        <w:tblW w:w="4929" w:type="pct"/>
        <w:tblLook w:val="0660" w:firstRow="1" w:lastRow="1" w:firstColumn="0" w:lastColumn="0" w:noHBand="1" w:noVBand="1"/>
      </w:tblPr>
      <w:tblGrid>
        <w:gridCol w:w="3349"/>
        <w:gridCol w:w="1959"/>
        <w:gridCol w:w="1959"/>
        <w:gridCol w:w="1960"/>
      </w:tblGrid>
      <w:tr w:rsidR="00832956" w14:paraId="27A9191E" w14:textId="77777777" w:rsidTr="00242429">
        <w:trPr>
          <w:cnfStyle w:val="100000000000" w:firstRow="1" w:lastRow="0" w:firstColumn="0" w:lastColumn="0" w:oddVBand="0" w:evenVBand="0" w:oddHBand="0" w:evenHBand="0" w:firstRowFirstColumn="0" w:firstRowLastColumn="0" w:lastRowFirstColumn="0" w:lastRowLastColumn="0"/>
          <w:trHeight w:val="256"/>
        </w:trPr>
        <w:tc>
          <w:tcPr>
            <w:tcW w:w="1520" w:type="pct"/>
            <w:noWrap/>
          </w:tcPr>
          <w:p w14:paraId="1B5A27D5" w14:textId="11B9EB94" w:rsidR="00242429" w:rsidRDefault="00242429">
            <w:r>
              <w:t>Variable</w:t>
            </w:r>
          </w:p>
        </w:tc>
        <w:tc>
          <w:tcPr>
            <w:tcW w:w="1160" w:type="pct"/>
          </w:tcPr>
          <w:p w14:paraId="6CB6C582" w14:textId="62AD2FAE" w:rsidR="00242429" w:rsidRDefault="006072B1">
            <w:r>
              <w:t xml:space="preserve">     </w:t>
            </w:r>
            <w:r w:rsidR="00242429">
              <w:t>Germany</w:t>
            </w:r>
            <w:r>
              <w:t xml:space="preserve"> (DE)</w:t>
            </w:r>
          </w:p>
        </w:tc>
        <w:tc>
          <w:tcPr>
            <w:tcW w:w="1160" w:type="pct"/>
          </w:tcPr>
          <w:p w14:paraId="3AC3EFBB" w14:textId="72A8CD4B" w:rsidR="00242429" w:rsidRDefault="006072B1">
            <w:r>
              <w:t xml:space="preserve">     </w:t>
            </w:r>
            <w:r w:rsidR="00242429">
              <w:t>Austria</w:t>
            </w:r>
            <w:r>
              <w:t xml:space="preserve"> (AT)</w:t>
            </w:r>
          </w:p>
        </w:tc>
        <w:tc>
          <w:tcPr>
            <w:tcW w:w="1160" w:type="pct"/>
          </w:tcPr>
          <w:p w14:paraId="09D0BB2B" w14:textId="6CDF953F" w:rsidR="00242429" w:rsidRDefault="00242429"/>
        </w:tc>
      </w:tr>
      <w:tr w:rsidR="00832956" w14:paraId="34676EE2" w14:textId="77777777" w:rsidTr="00242429">
        <w:trPr>
          <w:trHeight w:val="256"/>
        </w:trPr>
        <w:tc>
          <w:tcPr>
            <w:tcW w:w="1520" w:type="pct"/>
            <w:noWrap/>
          </w:tcPr>
          <w:p w14:paraId="1D356C17" w14:textId="77777777" w:rsidR="00242429" w:rsidRDefault="00242429"/>
        </w:tc>
        <w:tc>
          <w:tcPr>
            <w:tcW w:w="1160" w:type="pct"/>
          </w:tcPr>
          <w:p w14:paraId="2580802E" w14:textId="33DC0563" w:rsidR="00242429" w:rsidRDefault="00242429">
            <w:pPr>
              <w:rPr>
                <w:rStyle w:val="SubtleEmphasis"/>
              </w:rPr>
            </w:pPr>
          </w:p>
        </w:tc>
        <w:tc>
          <w:tcPr>
            <w:tcW w:w="1160" w:type="pct"/>
          </w:tcPr>
          <w:p w14:paraId="4DC225AC" w14:textId="77777777" w:rsidR="00242429" w:rsidRDefault="00242429"/>
        </w:tc>
        <w:tc>
          <w:tcPr>
            <w:tcW w:w="1160" w:type="pct"/>
          </w:tcPr>
          <w:p w14:paraId="2C2C23D5" w14:textId="77777777" w:rsidR="00242429" w:rsidRDefault="00242429"/>
        </w:tc>
      </w:tr>
      <w:tr w:rsidR="00832956" w14:paraId="1DA1D957" w14:textId="77777777" w:rsidTr="00242429">
        <w:trPr>
          <w:trHeight w:val="491"/>
        </w:trPr>
        <w:tc>
          <w:tcPr>
            <w:tcW w:w="1520" w:type="pct"/>
            <w:noWrap/>
          </w:tcPr>
          <w:p w14:paraId="7F159908" w14:textId="5F4158DC" w:rsidR="00242429" w:rsidRDefault="00242429">
            <w:r>
              <w:t>E</w:t>
            </w:r>
            <w:r w:rsidR="006072B1">
              <w:t>xchange Rate Volatility</w:t>
            </w:r>
          </w:p>
        </w:tc>
        <w:tc>
          <w:tcPr>
            <w:tcW w:w="1160" w:type="pct"/>
          </w:tcPr>
          <w:p w14:paraId="7A9CCC4D" w14:textId="2F5DBAAE" w:rsidR="00242429" w:rsidRDefault="006072B1">
            <w:pPr>
              <w:pStyle w:val="DecimalAligned"/>
            </w:pPr>
            <w:r>
              <w:t>0.3288</w:t>
            </w:r>
          </w:p>
        </w:tc>
        <w:tc>
          <w:tcPr>
            <w:tcW w:w="1160" w:type="pct"/>
          </w:tcPr>
          <w:p w14:paraId="6C56A4AD" w14:textId="7D130A34" w:rsidR="00242429" w:rsidRDefault="006072B1">
            <w:pPr>
              <w:pStyle w:val="DecimalAligned"/>
            </w:pPr>
            <w:r>
              <w:t>0.0229</w:t>
            </w:r>
          </w:p>
        </w:tc>
        <w:tc>
          <w:tcPr>
            <w:tcW w:w="1160" w:type="pct"/>
          </w:tcPr>
          <w:p w14:paraId="52F860AE" w14:textId="7B9EEFB9" w:rsidR="00242429" w:rsidRDefault="00242429">
            <w:pPr>
              <w:pStyle w:val="DecimalAligned"/>
            </w:pPr>
          </w:p>
        </w:tc>
      </w:tr>
      <w:tr w:rsidR="00832956" w14:paraId="2C1532B3" w14:textId="77777777" w:rsidTr="00242429">
        <w:trPr>
          <w:trHeight w:val="491"/>
        </w:trPr>
        <w:tc>
          <w:tcPr>
            <w:tcW w:w="1520" w:type="pct"/>
            <w:noWrap/>
          </w:tcPr>
          <w:p w14:paraId="651BA82F" w14:textId="10FBF253" w:rsidR="00242429" w:rsidRDefault="00242429">
            <w:r>
              <w:t>Real GDP</w:t>
            </w:r>
          </w:p>
        </w:tc>
        <w:tc>
          <w:tcPr>
            <w:tcW w:w="1160" w:type="pct"/>
          </w:tcPr>
          <w:p w14:paraId="710FFB26" w14:textId="2F47AC96" w:rsidR="00242429" w:rsidRDefault="006072B1">
            <w:pPr>
              <w:pStyle w:val="DecimalAligned"/>
            </w:pPr>
            <w:r>
              <w:t>0.1229</w:t>
            </w:r>
          </w:p>
        </w:tc>
        <w:tc>
          <w:tcPr>
            <w:tcW w:w="1160" w:type="pct"/>
          </w:tcPr>
          <w:p w14:paraId="0D22C61C" w14:textId="73D848B1" w:rsidR="00242429" w:rsidRDefault="006072B1">
            <w:pPr>
              <w:pStyle w:val="DecimalAligned"/>
            </w:pPr>
            <w:r>
              <w:t>0.2308</w:t>
            </w:r>
          </w:p>
        </w:tc>
        <w:tc>
          <w:tcPr>
            <w:tcW w:w="1160" w:type="pct"/>
          </w:tcPr>
          <w:p w14:paraId="0A16E9D4" w14:textId="3C2D035F" w:rsidR="00242429" w:rsidRDefault="00242429">
            <w:pPr>
              <w:pStyle w:val="DecimalAligned"/>
            </w:pPr>
          </w:p>
        </w:tc>
      </w:tr>
      <w:tr w:rsidR="00832956" w14:paraId="4140C12D" w14:textId="77777777" w:rsidTr="00242429">
        <w:trPr>
          <w:trHeight w:val="503"/>
        </w:trPr>
        <w:tc>
          <w:tcPr>
            <w:tcW w:w="1520" w:type="pct"/>
            <w:noWrap/>
          </w:tcPr>
          <w:p w14:paraId="4446B7D9" w14:textId="17761EA4" w:rsidR="00242429" w:rsidRDefault="00242429">
            <w:r>
              <w:t xml:space="preserve">Trade Balance </w:t>
            </w:r>
          </w:p>
        </w:tc>
        <w:tc>
          <w:tcPr>
            <w:tcW w:w="1160" w:type="pct"/>
          </w:tcPr>
          <w:p w14:paraId="6807C9DC" w14:textId="28F59762" w:rsidR="00242429" w:rsidRDefault="006072B1">
            <w:pPr>
              <w:pStyle w:val="DecimalAligned"/>
            </w:pPr>
            <w:r>
              <w:t>-0.0882</w:t>
            </w:r>
          </w:p>
        </w:tc>
        <w:tc>
          <w:tcPr>
            <w:tcW w:w="1160" w:type="pct"/>
          </w:tcPr>
          <w:p w14:paraId="0DD7E873" w14:textId="45F4C1DD" w:rsidR="00242429" w:rsidRDefault="006072B1">
            <w:pPr>
              <w:pStyle w:val="DecimalAligned"/>
            </w:pPr>
            <w:r>
              <w:t>-0.0318</w:t>
            </w:r>
          </w:p>
        </w:tc>
        <w:tc>
          <w:tcPr>
            <w:tcW w:w="1160" w:type="pct"/>
          </w:tcPr>
          <w:p w14:paraId="2EFD29FE" w14:textId="5D17B7A5" w:rsidR="00242429" w:rsidRDefault="00242429">
            <w:pPr>
              <w:pStyle w:val="DecimalAligned"/>
            </w:pPr>
          </w:p>
        </w:tc>
      </w:tr>
      <w:tr w:rsidR="00832956" w14:paraId="5524CC25" w14:textId="77777777" w:rsidTr="00242429">
        <w:trPr>
          <w:trHeight w:val="491"/>
        </w:trPr>
        <w:tc>
          <w:tcPr>
            <w:tcW w:w="1520" w:type="pct"/>
            <w:noWrap/>
          </w:tcPr>
          <w:p w14:paraId="62426965" w14:textId="2E7C8A5D" w:rsidR="00242429" w:rsidRDefault="00242429" w:rsidP="00242429">
            <w:r>
              <w:t>Technological Innovation</w:t>
            </w:r>
          </w:p>
          <w:p w14:paraId="6C3FB542" w14:textId="56A1AA37" w:rsidR="00242429" w:rsidRDefault="00242429"/>
        </w:tc>
        <w:tc>
          <w:tcPr>
            <w:tcW w:w="1160" w:type="pct"/>
          </w:tcPr>
          <w:p w14:paraId="6319A3FA" w14:textId="2FD04178" w:rsidR="00242429" w:rsidRDefault="006072B1">
            <w:pPr>
              <w:pStyle w:val="DecimalAligned"/>
            </w:pPr>
            <w:r>
              <w:t>0.1226</w:t>
            </w:r>
          </w:p>
        </w:tc>
        <w:tc>
          <w:tcPr>
            <w:tcW w:w="1160" w:type="pct"/>
          </w:tcPr>
          <w:p w14:paraId="69B4A986" w14:textId="746E46D9" w:rsidR="00242429" w:rsidRDefault="006072B1">
            <w:pPr>
              <w:pStyle w:val="DecimalAligned"/>
            </w:pPr>
            <w:r>
              <w:t>0.2729</w:t>
            </w:r>
          </w:p>
        </w:tc>
        <w:tc>
          <w:tcPr>
            <w:tcW w:w="1160" w:type="pct"/>
          </w:tcPr>
          <w:p w14:paraId="52D8759C" w14:textId="04E40C8F" w:rsidR="00242429" w:rsidRDefault="00242429">
            <w:pPr>
              <w:pStyle w:val="DecimalAligned"/>
            </w:pPr>
          </w:p>
        </w:tc>
      </w:tr>
      <w:tr w:rsidR="00832956" w14:paraId="17103068" w14:textId="77777777" w:rsidTr="00242429">
        <w:trPr>
          <w:trHeight w:val="491"/>
        </w:trPr>
        <w:tc>
          <w:tcPr>
            <w:tcW w:w="1520" w:type="pct"/>
            <w:noWrap/>
          </w:tcPr>
          <w:p w14:paraId="7FB8858C" w14:textId="2249E98E" w:rsidR="00242429" w:rsidRDefault="00242429">
            <w:r>
              <w:t>Human Development Index</w:t>
            </w:r>
          </w:p>
        </w:tc>
        <w:tc>
          <w:tcPr>
            <w:tcW w:w="1160" w:type="pct"/>
          </w:tcPr>
          <w:p w14:paraId="64E85174" w14:textId="6B25934C" w:rsidR="00242429" w:rsidRDefault="006072B1">
            <w:pPr>
              <w:pStyle w:val="DecimalAligned"/>
            </w:pPr>
            <w:r>
              <w:t>0.2114</w:t>
            </w:r>
          </w:p>
        </w:tc>
        <w:tc>
          <w:tcPr>
            <w:tcW w:w="1160" w:type="pct"/>
          </w:tcPr>
          <w:p w14:paraId="3F89CA40" w14:textId="71946837" w:rsidR="00242429" w:rsidRDefault="006072B1">
            <w:pPr>
              <w:pStyle w:val="DecimalAligned"/>
            </w:pPr>
            <w:r>
              <w:t>0.0882</w:t>
            </w:r>
          </w:p>
        </w:tc>
        <w:tc>
          <w:tcPr>
            <w:tcW w:w="1160" w:type="pct"/>
          </w:tcPr>
          <w:p w14:paraId="2420BD70" w14:textId="31779792" w:rsidR="00242429" w:rsidRDefault="00242429">
            <w:pPr>
              <w:pStyle w:val="DecimalAligned"/>
            </w:pPr>
          </w:p>
        </w:tc>
      </w:tr>
      <w:tr w:rsidR="00832956" w14:paraId="6B1068ED" w14:textId="77777777" w:rsidTr="006072B1">
        <w:trPr>
          <w:trHeight w:val="117"/>
        </w:trPr>
        <w:tc>
          <w:tcPr>
            <w:tcW w:w="1520" w:type="pct"/>
            <w:noWrap/>
          </w:tcPr>
          <w:p w14:paraId="631DBA87" w14:textId="43DA8A83" w:rsidR="00242429" w:rsidRDefault="006072B1">
            <w:r>
              <w:t>Political Stability (WGI)</w:t>
            </w:r>
          </w:p>
        </w:tc>
        <w:tc>
          <w:tcPr>
            <w:tcW w:w="1160" w:type="pct"/>
          </w:tcPr>
          <w:p w14:paraId="0689C874" w14:textId="37BE9B1C" w:rsidR="00242429" w:rsidRPr="006072B1" w:rsidRDefault="006072B1">
            <w:pPr>
              <w:rPr>
                <w:rStyle w:val="SubtleEmphasis"/>
                <w:i w:val="0"/>
                <w:iCs w:val="0"/>
              </w:rPr>
            </w:pPr>
            <w:r>
              <w:rPr>
                <w:rStyle w:val="SubtleEmphasis"/>
                <w:i w:val="0"/>
                <w:iCs w:val="0"/>
              </w:rPr>
              <w:t xml:space="preserve">     0.1072</w:t>
            </w:r>
          </w:p>
        </w:tc>
        <w:tc>
          <w:tcPr>
            <w:tcW w:w="1160" w:type="pct"/>
          </w:tcPr>
          <w:p w14:paraId="6EDBC3D5" w14:textId="52C269C8" w:rsidR="00242429" w:rsidRDefault="006072B1">
            <w:r>
              <w:t xml:space="preserve">     0.1076</w:t>
            </w:r>
          </w:p>
        </w:tc>
        <w:tc>
          <w:tcPr>
            <w:tcW w:w="1160" w:type="pct"/>
          </w:tcPr>
          <w:p w14:paraId="7FF4BD55" w14:textId="77777777" w:rsidR="00242429" w:rsidRDefault="00242429"/>
        </w:tc>
      </w:tr>
      <w:tr w:rsidR="006072B1" w14:paraId="0EA01F0C" w14:textId="77777777" w:rsidTr="006072B1">
        <w:trPr>
          <w:trHeight w:val="117"/>
        </w:trPr>
        <w:tc>
          <w:tcPr>
            <w:tcW w:w="1520" w:type="pct"/>
            <w:noWrap/>
          </w:tcPr>
          <w:p w14:paraId="593C8172" w14:textId="77777777" w:rsidR="006072B1" w:rsidRDefault="006072B1"/>
        </w:tc>
        <w:tc>
          <w:tcPr>
            <w:tcW w:w="1160" w:type="pct"/>
          </w:tcPr>
          <w:p w14:paraId="013EE4E9" w14:textId="77777777" w:rsidR="006072B1" w:rsidRDefault="006072B1">
            <w:pPr>
              <w:rPr>
                <w:rStyle w:val="SubtleEmphasis"/>
              </w:rPr>
            </w:pPr>
          </w:p>
        </w:tc>
        <w:tc>
          <w:tcPr>
            <w:tcW w:w="1160" w:type="pct"/>
          </w:tcPr>
          <w:p w14:paraId="64E060BC" w14:textId="77777777" w:rsidR="006072B1" w:rsidRDefault="006072B1"/>
        </w:tc>
        <w:tc>
          <w:tcPr>
            <w:tcW w:w="1160" w:type="pct"/>
          </w:tcPr>
          <w:p w14:paraId="0EEBFEF1" w14:textId="77777777" w:rsidR="006072B1" w:rsidRDefault="006072B1"/>
        </w:tc>
      </w:tr>
      <w:tr w:rsidR="00832956" w14:paraId="752C4239" w14:textId="77777777" w:rsidTr="00242429">
        <w:trPr>
          <w:cnfStyle w:val="010000000000" w:firstRow="0" w:lastRow="1" w:firstColumn="0" w:lastColumn="0" w:oddVBand="0" w:evenVBand="0" w:oddHBand="0" w:evenHBand="0" w:firstRowFirstColumn="0" w:firstRowLastColumn="0" w:lastRowFirstColumn="0" w:lastRowLastColumn="0"/>
          <w:trHeight w:val="491"/>
        </w:trPr>
        <w:tc>
          <w:tcPr>
            <w:tcW w:w="1520" w:type="pct"/>
            <w:noWrap/>
          </w:tcPr>
          <w:p w14:paraId="6F964075" w14:textId="61A9B4D6" w:rsidR="00242429" w:rsidRDefault="00F76EC4">
            <w:r>
              <w:t xml:space="preserve">*Taken </w:t>
            </w:r>
            <w:r w:rsidR="00832956">
              <w:t>from Excel Spreadsheet</w:t>
            </w:r>
            <w:r>
              <w:t xml:space="preserve"> </w:t>
            </w:r>
          </w:p>
        </w:tc>
        <w:tc>
          <w:tcPr>
            <w:tcW w:w="1160" w:type="pct"/>
          </w:tcPr>
          <w:p w14:paraId="7233CC26" w14:textId="71CB1EA8" w:rsidR="00242429" w:rsidRDefault="00242429">
            <w:pPr>
              <w:pStyle w:val="DecimalAligned"/>
            </w:pPr>
          </w:p>
        </w:tc>
        <w:tc>
          <w:tcPr>
            <w:tcW w:w="1160" w:type="pct"/>
          </w:tcPr>
          <w:p w14:paraId="482BD38D" w14:textId="75E80A0B" w:rsidR="00242429" w:rsidRDefault="00242429">
            <w:pPr>
              <w:pStyle w:val="DecimalAligned"/>
            </w:pPr>
          </w:p>
        </w:tc>
        <w:tc>
          <w:tcPr>
            <w:tcW w:w="1160" w:type="pct"/>
          </w:tcPr>
          <w:p w14:paraId="545FAAE7" w14:textId="65BDAD75" w:rsidR="00242429" w:rsidRDefault="00242429">
            <w:pPr>
              <w:pStyle w:val="DecimalAligned"/>
            </w:pPr>
          </w:p>
        </w:tc>
      </w:tr>
    </w:tbl>
    <w:p w14:paraId="31F1A78C" w14:textId="77777777" w:rsidR="006072B1" w:rsidRDefault="006072B1" w:rsidP="00242429">
      <w:pPr>
        <w:spacing w:after="0" w:line="480" w:lineRule="auto"/>
        <w:rPr>
          <w:rFonts w:ascii="Times New Roman" w:eastAsia="Times New Roman" w:hAnsi="Times New Roman" w:cs="Times New Roman"/>
          <w:kern w:val="0"/>
          <w14:ligatures w14:val="none"/>
        </w:rPr>
      </w:pPr>
    </w:p>
    <w:p w14:paraId="79CC57EE" w14:textId="365116FA" w:rsidR="006072B1" w:rsidRPr="006072B1" w:rsidRDefault="006072B1" w:rsidP="006072B1">
      <w:pPr>
        <w:rPr>
          <w:b/>
          <w:bCs/>
          <w:u w:val="single"/>
        </w:rPr>
      </w:pPr>
      <w:r w:rsidRPr="006072B1">
        <w:rPr>
          <w:b/>
          <w:bCs/>
          <w:u w:val="single"/>
        </w:rPr>
        <w:t>P-Values</w:t>
      </w:r>
      <w:r w:rsidR="00F76EC4">
        <w:rPr>
          <w:b/>
          <w:bCs/>
          <w:u w:val="single"/>
        </w:rPr>
        <w:t>*</w:t>
      </w:r>
    </w:p>
    <w:tbl>
      <w:tblPr>
        <w:tblStyle w:val="LightShading-Accent1"/>
        <w:tblW w:w="4929" w:type="pct"/>
        <w:tblLook w:val="0660" w:firstRow="1" w:lastRow="1" w:firstColumn="0" w:lastColumn="0" w:noHBand="1" w:noVBand="1"/>
      </w:tblPr>
      <w:tblGrid>
        <w:gridCol w:w="3349"/>
        <w:gridCol w:w="1959"/>
        <w:gridCol w:w="1959"/>
        <w:gridCol w:w="1960"/>
      </w:tblGrid>
      <w:tr w:rsidR="006072B1" w14:paraId="218CBC4F" w14:textId="77777777" w:rsidTr="00962B0D">
        <w:trPr>
          <w:cnfStyle w:val="100000000000" w:firstRow="1" w:lastRow="0" w:firstColumn="0" w:lastColumn="0" w:oddVBand="0" w:evenVBand="0" w:oddHBand="0" w:evenHBand="0" w:firstRowFirstColumn="0" w:firstRowLastColumn="0" w:lastRowFirstColumn="0" w:lastRowLastColumn="0"/>
          <w:trHeight w:val="256"/>
        </w:trPr>
        <w:tc>
          <w:tcPr>
            <w:tcW w:w="1520" w:type="pct"/>
            <w:noWrap/>
          </w:tcPr>
          <w:p w14:paraId="2F564A76" w14:textId="77777777" w:rsidR="006072B1" w:rsidRDefault="006072B1" w:rsidP="00962B0D">
            <w:r>
              <w:t>Variable</w:t>
            </w:r>
          </w:p>
        </w:tc>
        <w:tc>
          <w:tcPr>
            <w:tcW w:w="1160" w:type="pct"/>
          </w:tcPr>
          <w:p w14:paraId="1C73543B" w14:textId="5BDB4206" w:rsidR="006072B1" w:rsidRDefault="006072B1" w:rsidP="00962B0D">
            <w:r>
              <w:t xml:space="preserve">     </w:t>
            </w:r>
            <w:r>
              <w:t>Germany</w:t>
            </w:r>
            <w:r>
              <w:t xml:space="preserve"> (DE)</w:t>
            </w:r>
          </w:p>
        </w:tc>
        <w:tc>
          <w:tcPr>
            <w:tcW w:w="1160" w:type="pct"/>
          </w:tcPr>
          <w:p w14:paraId="0F731A3A" w14:textId="66D08E90" w:rsidR="006072B1" w:rsidRDefault="006072B1" w:rsidP="00962B0D">
            <w:r>
              <w:t xml:space="preserve">     </w:t>
            </w:r>
            <w:r>
              <w:t>Austria</w:t>
            </w:r>
            <w:r>
              <w:t xml:space="preserve"> (AT)</w:t>
            </w:r>
          </w:p>
        </w:tc>
        <w:tc>
          <w:tcPr>
            <w:tcW w:w="1160" w:type="pct"/>
          </w:tcPr>
          <w:p w14:paraId="4DC1DECA" w14:textId="77777777" w:rsidR="006072B1" w:rsidRDefault="006072B1" w:rsidP="00962B0D"/>
        </w:tc>
      </w:tr>
      <w:tr w:rsidR="006072B1" w14:paraId="2BB94CE9" w14:textId="77777777" w:rsidTr="00962B0D">
        <w:trPr>
          <w:trHeight w:val="256"/>
        </w:trPr>
        <w:tc>
          <w:tcPr>
            <w:tcW w:w="1520" w:type="pct"/>
            <w:noWrap/>
          </w:tcPr>
          <w:p w14:paraId="2F20DCC5" w14:textId="77777777" w:rsidR="006072B1" w:rsidRDefault="006072B1" w:rsidP="00962B0D"/>
        </w:tc>
        <w:tc>
          <w:tcPr>
            <w:tcW w:w="1160" w:type="pct"/>
          </w:tcPr>
          <w:p w14:paraId="1AC242A4" w14:textId="77777777" w:rsidR="006072B1" w:rsidRDefault="006072B1" w:rsidP="00962B0D">
            <w:pPr>
              <w:rPr>
                <w:rStyle w:val="SubtleEmphasis"/>
              </w:rPr>
            </w:pPr>
          </w:p>
        </w:tc>
        <w:tc>
          <w:tcPr>
            <w:tcW w:w="1160" w:type="pct"/>
          </w:tcPr>
          <w:p w14:paraId="29835596" w14:textId="77777777" w:rsidR="006072B1" w:rsidRDefault="006072B1" w:rsidP="00962B0D"/>
        </w:tc>
        <w:tc>
          <w:tcPr>
            <w:tcW w:w="1160" w:type="pct"/>
          </w:tcPr>
          <w:p w14:paraId="2E772453" w14:textId="77777777" w:rsidR="006072B1" w:rsidRDefault="006072B1" w:rsidP="00962B0D"/>
        </w:tc>
      </w:tr>
      <w:tr w:rsidR="006072B1" w14:paraId="4CD55460" w14:textId="77777777" w:rsidTr="00962B0D">
        <w:trPr>
          <w:trHeight w:val="491"/>
        </w:trPr>
        <w:tc>
          <w:tcPr>
            <w:tcW w:w="1520" w:type="pct"/>
            <w:noWrap/>
          </w:tcPr>
          <w:p w14:paraId="7EC8486E" w14:textId="77777777" w:rsidR="006072B1" w:rsidRDefault="006072B1" w:rsidP="00962B0D">
            <w:r>
              <w:t>Exchange Rate Volatility</w:t>
            </w:r>
          </w:p>
        </w:tc>
        <w:tc>
          <w:tcPr>
            <w:tcW w:w="1160" w:type="pct"/>
          </w:tcPr>
          <w:p w14:paraId="648F903B" w14:textId="1D551ABB" w:rsidR="006072B1" w:rsidRDefault="006072B1" w:rsidP="00962B0D">
            <w:pPr>
              <w:pStyle w:val="DecimalAligned"/>
            </w:pPr>
            <w:r>
              <w:t>0.</w:t>
            </w:r>
            <w:r>
              <w:t>0875</w:t>
            </w:r>
          </w:p>
        </w:tc>
        <w:tc>
          <w:tcPr>
            <w:tcW w:w="1160" w:type="pct"/>
          </w:tcPr>
          <w:p w14:paraId="729D1367" w14:textId="131129BD" w:rsidR="006072B1" w:rsidRDefault="006072B1" w:rsidP="00962B0D">
            <w:pPr>
              <w:pStyle w:val="DecimalAligned"/>
            </w:pPr>
            <w:r>
              <w:t>0.</w:t>
            </w:r>
            <w:r>
              <w:t>9078</w:t>
            </w:r>
          </w:p>
        </w:tc>
        <w:tc>
          <w:tcPr>
            <w:tcW w:w="1160" w:type="pct"/>
          </w:tcPr>
          <w:p w14:paraId="0EFE4CCF" w14:textId="77777777" w:rsidR="006072B1" w:rsidRDefault="006072B1" w:rsidP="00962B0D">
            <w:pPr>
              <w:pStyle w:val="DecimalAligned"/>
            </w:pPr>
          </w:p>
        </w:tc>
      </w:tr>
      <w:tr w:rsidR="006072B1" w14:paraId="0207598B" w14:textId="77777777" w:rsidTr="00962B0D">
        <w:trPr>
          <w:trHeight w:val="491"/>
        </w:trPr>
        <w:tc>
          <w:tcPr>
            <w:tcW w:w="1520" w:type="pct"/>
            <w:noWrap/>
          </w:tcPr>
          <w:p w14:paraId="2F12C30A" w14:textId="77777777" w:rsidR="006072B1" w:rsidRDefault="006072B1" w:rsidP="00962B0D">
            <w:r>
              <w:t>Real GDP</w:t>
            </w:r>
          </w:p>
        </w:tc>
        <w:tc>
          <w:tcPr>
            <w:tcW w:w="1160" w:type="pct"/>
          </w:tcPr>
          <w:p w14:paraId="7DD11A24" w14:textId="1F215C08" w:rsidR="006072B1" w:rsidRDefault="006072B1" w:rsidP="00962B0D">
            <w:pPr>
              <w:pStyle w:val="DecimalAligned"/>
            </w:pPr>
            <w:r>
              <w:t>0.</w:t>
            </w:r>
            <w:r>
              <w:t>5174</w:t>
            </w:r>
          </w:p>
        </w:tc>
        <w:tc>
          <w:tcPr>
            <w:tcW w:w="1160" w:type="pct"/>
          </w:tcPr>
          <w:p w14:paraId="59E4CA2B" w14:textId="102EFBC6" w:rsidR="006072B1" w:rsidRDefault="006072B1" w:rsidP="00962B0D">
            <w:pPr>
              <w:pStyle w:val="DecimalAligned"/>
            </w:pPr>
            <w:r>
              <w:t>0.</w:t>
            </w:r>
            <w:r>
              <w:t>2565</w:t>
            </w:r>
          </w:p>
        </w:tc>
        <w:tc>
          <w:tcPr>
            <w:tcW w:w="1160" w:type="pct"/>
          </w:tcPr>
          <w:p w14:paraId="392CAD76" w14:textId="77777777" w:rsidR="006072B1" w:rsidRDefault="006072B1" w:rsidP="00962B0D">
            <w:pPr>
              <w:pStyle w:val="DecimalAligned"/>
            </w:pPr>
          </w:p>
        </w:tc>
      </w:tr>
      <w:tr w:rsidR="006072B1" w14:paraId="61253F17" w14:textId="77777777" w:rsidTr="00962B0D">
        <w:trPr>
          <w:trHeight w:val="503"/>
        </w:trPr>
        <w:tc>
          <w:tcPr>
            <w:tcW w:w="1520" w:type="pct"/>
            <w:noWrap/>
          </w:tcPr>
          <w:p w14:paraId="6F02DC85" w14:textId="77777777" w:rsidR="006072B1" w:rsidRDefault="006072B1" w:rsidP="00962B0D">
            <w:r>
              <w:t xml:space="preserve">Trade Balance </w:t>
            </w:r>
          </w:p>
        </w:tc>
        <w:tc>
          <w:tcPr>
            <w:tcW w:w="1160" w:type="pct"/>
          </w:tcPr>
          <w:p w14:paraId="5BD2CEE8" w14:textId="00A6AE43" w:rsidR="006072B1" w:rsidRDefault="006072B1" w:rsidP="00962B0D">
            <w:pPr>
              <w:pStyle w:val="DecimalAligned"/>
            </w:pPr>
            <w:r>
              <w:t>0.6369</w:t>
            </w:r>
          </w:p>
        </w:tc>
        <w:tc>
          <w:tcPr>
            <w:tcW w:w="1160" w:type="pct"/>
          </w:tcPr>
          <w:p w14:paraId="41587D1D" w14:textId="1141B54D" w:rsidR="006072B1" w:rsidRDefault="006072B1" w:rsidP="00962B0D">
            <w:pPr>
              <w:pStyle w:val="DecimalAligned"/>
            </w:pPr>
            <w:r>
              <w:t>0.8649</w:t>
            </w:r>
          </w:p>
        </w:tc>
        <w:tc>
          <w:tcPr>
            <w:tcW w:w="1160" w:type="pct"/>
          </w:tcPr>
          <w:p w14:paraId="7AC48B69" w14:textId="77777777" w:rsidR="006072B1" w:rsidRDefault="006072B1" w:rsidP="00962B0D">
            <w:pPr>
              <w:pStyle w:val="DecimalAligned"/>
            </w:pPr>
          </w:p>
        </w:tc>
      </w:tr>
      <w:tr w:rsidR="006072B1" w14:paraId="7C64AE4E" w14:textId="77777777" w:rsidTr="00962B0D">
        <w:trPr>
          <w:trHeight w:val="491"/>
        </w:trPr>
        <w:tc>
          <w:tcPr>
            <w:tcW w:w="1520" w:type="pct"/>
            <w:noWrap/>
          </w:tcPr>
          <w:p w14:paraId="6CF2509C" w14:textId="77777777" w:rsidR="006072B1" w:rsidRDefault="006072B1" w:rsidP="00962B0D">
            <w:r>
              <w:t>Technological Innovation</w:t>
            </w:r>
          </w:p>
          <w:p w14:paraId="270B6929" w14:textId="77777777" w:rsidR="006072B1" w:rsidRDefault="006072B1" w:rsidP="00962B0D"/>
        </w:tc>
        <w:tc>
          <w:tcPr>
            <w:tcW w:w="1160" w:type="pct"/>
          </w:tcPr>
          <w:p w14:paraId="7BCE005D" w14:textId="590A3491" w:rsidR="006072B1" w:rsidRDefault="006072B1" w:rsidP="00962B0D">
            <w:pPr>
              <w:pStyle w:val="DecimalAligned"/>
            </w:pPr>
            <w:r>
              <w:t>0.</w:t>
            </w:r>
            <w:r>
              <w:t>5592</w:t>
            </w:r>
          </w:p>
        </w:tc>
        <w:tc>
          <w:tcPr>
            <w:tcW w:w="1160" w:type="pct"/>
          </w:tcPr>
          <w:p w14:paraId="28F0F203" w14:textId="5F54AAB0" w:rsidR="006072B1" w:rsidRDefault="006072B1" w:rsidP="00962B0D">
            <w:pPr>
              <w:pStyle w:val="DecimalAligned"/>
            </w:pPr>
            <w:r>
              <w:t>0.</w:t>
            </w:r>
            <w:r>
              <w:t>1969</w:t>
            </w:r>
          </w:p>
        </w:tc>
        <w:tc>
          <w:tcPr>
            <w:tcW w:w="1160" w:type="pct"/>
          </w:tcPr>
          <w:p w14:paraId="3E812B3E" w14:textId="77777777" w:rsidR="006072B1" w:rsidRDefault="006072B1" w:rsidP="00962B0D">
            <w:pPr>
              <w:pStyle w:val="DecimalAligned"/>
            </w:pPr>
          </w:p>
        </w:tc>
      </w:tr>
      <w:tr w:rsidR="006072B1" w14:paraId="775FFD98" w14:textId="77777777" w:rsidTr="00962B0D">
        <w:trPr>
          <w:trHeight w:val="491"/>
        </w:trPr>
        <w:tc>
          <w:tcPr>
            <w:tcW w:w="1520" w:type="pct"/>
            <w:noWrap/>
          </w:tcPr>
          <w:p w14:paraId="3D7FDCCC" w14:textId="77777777" w:rsidR="006072B1" w:rsidRDefault="006072B1" w:rsidP="00962B0D">
            <w:r>
              <w:t>Human Development Index</w:t>
            </w:r>
          </w:p>
        </w:tc>
        <w:tc>
          <w:tcPr>
            <w:tcW w:w="1160" w:type="pct"/>
          </w:tcPr>
          <w:p w14:paraId="6D465EB1" w14:textId="6C6C97BA" w:rsidR="006072B1" w:rsidRDefault="006072B1" w:rsidP="00962B0D">
            <w:pPr>
              <w:pStyle w:val="DecimalAligned"/>
            </w:pPr>
            <w:r>
              <w:t>0.2</w:t>
            </w:r>
            <w:r>
              <w:t>619</w:t>
            </w:r>
          </w:p>
        </w:tc>
        <w:tc>
          <w:tcPr>
            <w:tcW w:w="1160" w:type="pct"/>
          </w:tcPr>
          <w:p w14:paraId="3FAB8B4F" w14:textId="0B0F8A24" w:rsidR="006072B1" w:rsidRDefault="006072B1" w:rsidP="00962B0D">
            <w:pPr>
              <w:pStyle w:val="DecimalAligned"/>
            </w:pPr>
            <w:r>
              <w:t>0.</w:t>
            </w:r>
            <w:r>
              <w:t>6429</w:t>
            </w:r>
          </w:p>
        </w:tc>
        <w:tc>
          <w:tcPr>
            <w:tcW w:w="1160" w:type="pct"/>
          </w:tcPr>
          <w:p w14:paraId="330C3BD4" w14:textId="77777777" w:rsidR="006072B1" w:rsidRDefault="006072B1" w:rsidP="00962B0D">
            <w:pPr>
              <w:pStyle w:val="DecimalAligned"/>
            </w:pPr>
          </w:p>
        </w:tc>
      </w:tr>
      <w:tr w:rsidR="006072B1" w14:paraId="15ED3642" w14:textId="77777777" w:rsidTr="00962B0D">
        <w:trPr>
          <w:trHeight w:val="117"/>
        </w:trPr>
        <w:tc>
          <w:tcPr>
            <w:tcW w:w="1520" w:type="pct"/>
            <w:noWrap/>
          </w:tcPr>
          <w:p w14:paraId="3890984C" w14:textId="77777777" w:rsidR="006072B1" w:rsidRDefault="006072B1" w:rsidP="00962B0D">
            <w:r>
              <w:t>Political Stability (WGI)</w:t>
            </w:r>
          </w:p>
        </w:tc>
        <w:tc>
          <w:tcPr>
            <w:tcW w:w="1160" w:type="pct"/>
          </w:tcPr>
          <w:p w14:paraId="1E2F5AA0" w14:textId="5E641988" w:rsidR="006072B1" w:rsidRPr="006072B1" w:rsidRDefault="006072B1" w:rsidP="00962B0D">
            <w:pPr>
              <w:rPr>
                <w:rStyle w:val="SubtleEmphasis"/>
                <w:i w:val="0"/>
                <w:iCs w:val="0"/>
              </w:rPr>
            </w:pPr>
            <w:r>
              <w:rPr>
                <w:rStyle w:val="SubtleEmphasis"/>
                <w:i w:val="0"/>
                <w:iCs w:val="0"/>
              </w:rPr>
              <w:t xml:space="preserve">     0.</w:t>
            </w:r>
            <w:r>
              <w:rPr>
                <w:rStyle w:val="SubtleEmphasis"/>
                <w:i w:val="0"/>
                <w:iCs w:val="0"/>
              </w:rPr>
              <w:t>6525</w:t>
            </w:r>
          </w:p>
        </w:tc>
        <w:tc>
          <w:tcPr>
            <w:tcW w:w="1160" w:type="pct"/>
          </w:tcPr>
          <w:p w14:paraId="19B47CC0" w14:textId="5D8BB00F" w:rsidR="006072B1" w:rsidRDefault="006072B1" w:rsidP="00962B0D">
            <w:r>
              <w:t xml:space="preserve">     0.</w:t>
            </w:r>
            <w:r>
              <w:t>6607</w:t>
            </w:r>
          </w:p>
        </w:tc>
        <w:tc>
          <w:tcPr>
            <w:tcW w:w="1160" w:type="pct"/>
          </w:tcPr>
          <w:p w14:paraId="3C22964F" w14:textId="77777777" w:rsidR="006072B1" w:rsidRDefault="006072B1" w:rsidP="00962B0D"/>
        </w:tc>
      </w:tr>
      <w:tr w:rsidR="006072B1" w14:paraId="25112E00" w14:textId="77777777" w:rsidTr="00962B0D">
        <w:trPr>
          <w:trHeight w:val="117"/>
        </w:trPr>
        <w:tc>
          <w:tcPr>
            <w:tcW w:w="1520" w:type="pct"/>
            <w:noWrap/>
          </w:tcPr>
          <w:p w14:paraId="4847487C" w14:textId="77777777" w:rsidR="006072B1" w:rsidRDefault="006072B1" w:rsidP="00962B0D"/>
        </w:tc>
        <w:tc>
          <w:tcPr>
            <w:tcW w:w="1160" w:type="pct"/>
          </w:tcPr>
          <w:p w14:paraId="71B493F6" w14:textId="77777777" w:rsidR="006072B1" w:rsidRDefault="006072B1" w:rsidP="00962B0D">
            <w:pPr>
              <w:rPr>
                <w:rStyle w:val="SubtleEmphasis"/>
              </w:rPr>
            </w:pPr>
          </w:p>
        </w:tc>
        <w:tc>
          <w:tcPr>
            <w:tcW w:w="1160" w:type="pct"/>
          </w:tcPr>
          <w:p w14:paraId="379D392E" w14:textId="77777777" w:rsidR="006072B1" w:rsidRDefault="006072B1" w:rsidP="00962B0D"/>
        </w:tc>
        <w:tc>
          <w:tcPr>
            <w:tcW w:w="1160" w:type="pct"/>
          </w:tcPr>
          <w:p w14:paraId="25A77A72" w14:textId="77777777" w:rsidR="006072B1" w:rsidRDefault="006072B1" w:rsidP="00962B0D"/>
        </w:tc>
      </w:tr>
      <w:tr w:rsidR="006072B1" w14:paraId="06C8CF1A" w14:textId="77777777" w:rsidTr="00962B0D">
        <w:trPr>
          <w:cnfStyle w:val="010000000000" w:firstRow="0" w:lastRow="1" w:firstColumn="0" w:lastColumn="0" w:oddVBand="0" w:evenVBand="0" w:oddHBand="0" w:evenHBand="0" w:firstRowFirstColumn="0" w:firstRowLastColumn="0" w:lastRowFirstColumn="0" w:lastRowLastColumn="0"/>
          <w:trHeight w:val="491"/>
        </w:trPr>
        <w:tc>
          <w:tcPr>
            <w:tcW w:w="1520" w:type="pct"/>
            <w:noWrap/>
          </w:tcPr>
          <w:p w14:paraId="1F1E6D86" w14:textId="34A90FCA" w:rsidR="006072B1" w:rsidRDefault="00222D17" w:rsidP="00962B0D">
            <w:r>
              <w:t>*</w:t>
            </w:r>
            <w:r w:rsidR="00F76EC4">
              <w:t xml:space="preserve">Taken from </w:t>
            </w:r>
            <w:r w:rsidR="00832956">
              <w:t>Excel Spreadsheet</w:t>
            </w:r>
          </w:p>
        </w:tc>
        <w:tc>
          <w:tcPr>
            <w:tcW w:w="1160" w:type="pct"/>
          </w:tcPr>
          <w:p w14:paraId="6D5C7802" w14:textId="77777777" w:rsidR="006072B1" w:rsidRDefault="006072B1" w:rsidP="00962B0D">
            <w:pPr>
              <w:pStyle w:val="DecimalAligned"/>
            </w:pPr>
          </w:p>
        </w:tc>
        <w:tc>
          <w:tcPr>
            <w:tcW w:w="1160" w:type="pct"/>
          </w:tcPr>
          <w:p w14:paraId="0F74C5C3" w14:textId="77777777" w:rsidR="006072B1" w:rsidRDefault="006072B1" w:rsidP="00962B0D">
            <w:pPr>
              <w:pStyle w:val="DecimalAligned"/>
            </w:pPr>
          </w:p>
        </w:tc>
        <w:tc>
          <w:tcPr>
            <w:tcW w:w="1160" w:type="pct"/>
          </w:tcPr>
          <w:p w14:paraId="0DD38603" w14:textId="77777777" w:rsidR="006072B1" w:rsidRDefault="006072B1" w:rsidP="00962B0D">
            <w:pPr>
              <w:pStyle w:val="DecimalAligned"/>
            </w:pPr>
          </w:p>
        </w:tc>
      </w:tr>
    </w:tbl>
    <w:p w14:paraId="440F51F3" w14:textId="77777777" w:rsidR="002E2E4F" w:rsidRDefault="002E2E4F" w:rsidP="003F6C50">
      <w:pPr>
        <w:spacing w:after="0" w:line="480" w:lineRule="auto"/>
        <w:jc w:val="both"/>
        <w:rPr>
          <w:rFonts w:ascii="Arial" w:eastAsia="Times New Roman" w:hAnsi="Arial" w:cs="Arial"/>
          <w:kern w:val="0"/>
          <w14:ligatures w14:val="none"/>
        </w:rPr>
      </w:pPr>
    </w:p>
    <w:p w14:paraId="78952C92" w14:textId="77777777" w:rsidR="002E2E4F" w:rsidRDefault="002E2E4F" w:rsidP="003F6C50">
      <w:pPr>
        <w:spacing w:after="0" w:line="480" w:lineRule="auto"/>
        <w:jc w:val="both"/>
        <w:rPr>
          <w:rFonts w:ascii="Arial" w:eastAsia="Times New Roman" w:hAnsi="Arial" w:cs="Arial"/>
          <w:kern w:val="0"/>
          <w14:ligatures w14:val="none"/>
        </w:rPr>
      </w:pPr>
    </w:p>
    <w:p w14:paraId="4398C9BD" w14:textId="77777777" w:rsidR="002E2E4F" w:rsidRDefault="002E2E4F" w:rsidP="003F6C50">
      <w:pPr>
        <w:spacing w:after="0" w:line="480" w:lineRule="auto"/>
        <w:jc w:val="both"/>
        <w:rPr>
          <w:rFonts w:ascii="Arial" w:eastAsia="Times New Roman" w:hAnsi="Arial" w:cs="Arial"/>
          <w:kern w:val="0"/>
          <w14:ligatures w14:val="none"/>
        </w:rPr>
      </w:pPr>
    </w:p>
    <w:p w14:paraId="445E81EE" w14:textId="01DAA9F5" w:rsidR="003F6C50" w:rsidRPr="003F6C50" w:rsidRDefault="003F6C50" w:rsidP="003F6C50">
      <w:pPr>
        <w:spacing w:after="0" w:line="480" w:lineRule="auto"/>
        <w:jc w:val="both"/>
        <w:rPr>
          <w:rFonts w:ascii="Arial" w:eastAsia="Times New Roman" w:hAnsi="Arial" w:cs="Arial"/>
          <w:kern w:val="0"/>
          <w14:ligatures w14:val="none"/>
        </w:rPr>
      </w:pPr>
      <w:r>
        <w:rPr>
          <w:rFonts w:ascii="Arial" w:eastAsia="Times New Roman" w:hAnsi="Arial" w:cs="Arial"/>
          <w:b/>
          <w:bCs/>
          <w:kern w:val="0"/>
          <w14:ligatures w14:val="none"/>
        </w:rPr>
        <w:lastRenderedPageBreak/>
        <w:t xml:space="preserve">3.3 </w:t>
      </w:r>
      <w:r>
        <w:rPr>
          <w:rFonts w:ascii="Arial" w:eastAsia="Times New Roman" w:hAnsi="Arial" w:cs="Arial"/>
          <w:kern w:val="0"/>
          <w14:ligatures w14:val="none"/>
        </w:rPr>
        <w:t>Exchange Rate Volatility</w:t>
      </w:r>
      <w:r w:rsidR="00832956">
        <w:rPr>
          <w:rFonts w:ascii="Arial" w:eastAsia="Times New Roman" w:hAnsi="Arial" w:cs="Arial"/>
          <w:kern w:val="0"/>
          <w14:ligatures w14:val="none"/>
        </w:rPr>
        <w:t xml:space="preserve"> (Fig. 1) </w:t>
      </w:r>
    </w:p>
    <w:p w14:paraId="6B87FF25" w14:textId="73387EB2" w:rsidR="00242429" w:rsidRDefault="002E2E4F" w:rsidP="003F6C50">
      <w:pPr>
        <w:spacing w:after="0" w:line="480" w:lineRule="auto"/>
        <w:ind w:firstLine="720"/>
        <w:jc w:val="both"/>
        <w:rPr>
          <w:rFonts w:ascii="Arial" w:eastAsia="Times New Roman" w:hAnsi="Arial" w:cs="Arial"/>
          <w:kern w:val="0"/>
          <w14:ligatures w14:val="none"/>
        </w:rPr>
      </w:pPr>
      <w:r>
        <w:rPr>
          <w:rFonts w:ascii="Arial" w:eastAsia="Times New Roman" w:hAnsi="Arial" w:cs="Arial"/>
          <w:kern w:val="0"/>
          <w14:ligatures w14:val="none"/>
        </w:rPr>
        <w:t xml:space="preserve">The </w:t>
      </w:r>
      <w:r w:rsidR="00787BD2">
        <w:rPr>
          <w:rFonts w:ascii="Arial" w:eastAsia="Times New Roman" w:hAnsi="Arial" w:cs="Arial"/>
          <w:kern w:val="0"/>
          <w14:ligatures w14:val="none"/>
        </w:rPr>
        <w:t xml:space="preserve">only variable that comes close to </w:t>
      </w:r>
      <w:r>
        <w:rPr>
          <w:rFonts w:ascii="Arial" w:eastAsia="Times New Roman" w:hAnsi="Arial" w:cs="Arial"/>
          <w:kern w:val="0"/>
          <w14:ligatures w14:val="none"/>
        </w:rPr>
        <w:t>being statistically significant</w:t>
      </w:r>
      <w:r w:rsidR="00787BD2">
        <w:rPr>
          <w:rFonts w:ascii="Arial" w:eastAsia="Times New Roman" w:hAnsi="Arial" w:cs="Arial"/>
          <w:kern w:val="0"/>
          <w14:ligatures w14:val="none"/>
        </w:rPr>
        <w:t xml:space="preserve"> is Germany’s Exchange Rate Volatilit</w:t>
      </w:r>
      <w:r w:rsidR="00905DEF">
        <w:rPr>
          <w:rFonts w:ascii="Arial" w:eastAsia="Times New Roman" w:hAnsi="Arial" w:cs="Arial"/>
          <w:kern w:val="0"/>
          <w14:ligatures w14:val="none"/>
        </w:rPr>
        <w:t>y</w:t>
      </w:r>
      <w:r w:rsidR="00787BD2">
        <w:rPr>
          <w:rFonts w:ascii="Arial" w:eastAsia="Times New Roman" w:hAnsi="Arial" w:cs="Arial"/>
          <w:kern w:val="0"/>
          <w14:ligatures w14:val="none"/>
        </w:rPr>
        <w:t xml:space="preserve">. Thus, we can only </w:t>
      </w:r>
      <w:r w:rsidR="00787BD2" w:rsidRPr="00905DEF">
        <w:rPr>
          <w:rFonts w:ascii="Arial" w:eastAsia="Times New Roman" w:hAnsi="Arial" w:cs="Arial"/>
          <w:i/>
          <w:iCs/>
          <w:kern w:val="0"/>
          <w14:ligatures w14:val="none"/>
        </w:rPr>
        <w:t>marginally</w:t>
      </w:r>
      <w:r w:rsidR="00787BD2">
        <w:rPr>
          <w:rFonts w:ascii="Arial" w:eastAsia="Times New Roman" w:hAnsi="Arial" w:cs="Arial"/>
          <w:kern w:val="0"/>
          <w14:ligatures w14:val="none"/>
        </w:rPr>
        <w:t xml:space="preserve"> “reject” the H</w:t>
      </w:r>
      <w:r w:rsidR="00787BD2">
        <w:rPr>
          <w:rFonts w:ascii="Arial" w:eastAsia="Times New Roman" w:hAnsi="Arial" w:cs="Arial"/>
          <w:kern w:val="0"/>
          <w:vertAlign w:val="subscript"/>
          <w14:ligatures w14:val="none"/>
        </w:rPr>
        <w:t>0</w:t>
      </w:r>
      <w:r w:rsidR="00787BD2">
        <w:rPr>
          <w:rFonts w:ascii="Arial" w:eastAsia="Times New Roman" w:hAnsi="Arial" w:cs="Arial"/>
          <w:kern w:val="0"/>
          <w14:ligatures w14:val="none"/>
        </w:rPr>
        <w:t xml:space="preserve"> (that there is no relationship between Exchange Rate Volatility and FDI inflows). </w:t>
      </w:r>
    </w:p>
    <w:p w14:paraId="48E50252" w14:textId="77777777" w:rsidR="003F6C50" w:rsidRDefault="00787BD2" w:rsidP="003F6C50">
      <w:pPr>
        <w:spacing w:after="0" w:line="480" w:lineRule="auto"/>
        <w:jc w:val="both"/>
        <w:rPr>
          <w:rFonts w:ascii="Arial" w:eastAsia="Times New Roman" w:hAnsi="Arial" w:cs="Arial"/>
          <w:kern w:val="0"/>
          <w14:ligatures w14:val="none"/>
        </w:rPr>
      </w:pPr>
      <w:r>
        <w:rPr>
          <w:rFonts w:ascii="Arial" w:eastAsia="Times New Roman" w:hAnsi="Arial" w:cs="Arial"/>
          <w:kern w:val="0"/>
          <w14:ligatures w14:val="none"/>
        </w:rPr>
        <w:tab/>
        <w:t xml:space="preserve">Although the resulting p-values do not indicate statistical significance, one can still analyze the resulting correlation coefficients and draw (perhaps erroneous) conclusions or point out oddities. One of these oddities is the striking difference in Exchange Rate Volatility. This, however, is explained away by the fact that the Austrian Schilling (the previous national currency before the Euro in 1999), was included in the calculation. A separate correlation coefficient calculation was performed that excluded the period 1990-1999, and the resulting correlation coefficient was 0.2066 – and the p-value attained from this calculation was </w:t>
      </w:r>
      <w:r w:rsidR="003F6C50">
        <w:rPr>
          <w:rFonts w:ascii="Arial" w:eastAsia="Times New Roman" w:hAnsi="Arial" w:cs="Arial"/>
          <w:kern w:val="0"/>
          <w14:ligatures w14:val="none"/>
        </w:rPr>
        <w:t xml:space="preserve">0.2914. Given the previous correlation coefficient was 0.0229, and the previous p-value was 0.9078, it is safe to assume that the Schilling (and the percent change in exchange rate volatility) was creating statistical noise – removing the Schilling and just starting from the Euro increased confidence, but not to a statistically significant level. Moreover, it did not close the gap to that of Germany. This </w:t>
      </w:r>
      <w:r w:rsidR="003F6C50" w:rsidRPr="00905DEF">
        <w:rPr>
          <w:rFonts w:ascii="Arial" w:eastAsia="Times New Roman" w:hAnsi="Arial" w:cs="Arial"/>
          <w:i/>
          <w:iCs/>
          <w:kern w:val="0"/>
          <w14:ligatures w14:val="none"/>
        </w:rPr>
        <w:t>could</w:t>
      </w:r>
      <w:r w:rsidR="003F6C50">
        <w:rPr>
          <w:rFonts w:ascii="Arial" w:eastAsia="Times New Roman" w:hAnsi="Arial" w:cs="Arial"/>
          <w:kern w:val="0"/>
          <w14:ligatures w14:val="none"/>
        </w:rPr>
        <w:t xml:space="preserve"> be indicative of a market size difference regarding the influence of Exchange Rate Volatility on FDI inflows. </w:t>
      </w:r>
    </w:p>
    <w:p w14:paraId="0D813423" w14:textId="720F1B48" w:rsidR="003F6C50" w:rsidRDefault="003F6C50" w:rsidP="003F6C50">
      <w:pPr>
        <w:spacing w:after="0" w:line="480" w:lineRule="auto"/>
        <w:jc w:val="both"/>
        <w:rPr>
          <w:rFonts w:ascii="Arial" w:eastAsia="Times New Roman" w:hAnsi="Arial" w:cs="Arial"/>
          <w:kern w:val="0"/>
          <w14:ligatures w14:val="none"/>
        </w:rPr>
      </w:pPr>
      <w:r>
        <w:rPr>
          <w:rFonts w:ascii="Arial" w:eastAsia="Times New Roman" w:hAnsi="Arial" w:cs="Arial"/>
          <w:b/>
          <w:bCs/>
          <w:kern w:val="0"/>
          <w14:ligatures w14:val="none"/>
        </w:rPr>
        <w:t xml:space="preserve">3.4 </w:t>
      </w:r>
      <w:r>
        <w:rPr>
          <w:rFonts w:ascii="Arial" w:eastAsia="Times New Roman" w:hAnsi="Arial" w:cs="Arial"/>
          <w:kern w:val="0"/>
          <w14:ligatures w14:val="none"/>
        </w:rPr>
        <w:t>Real GDP</w:t>
      </w:r>
      <w:r w:rsidR="002E2E4F">
        <w:rPr>
          <w:rFonts w:ascii="Arial" w:eastAsia="Times New Roman" w:hAnsi="Arial" w:cs="Arial"/>
          <w:kern w:val="0"/>
          <w14:ligatures w14:val="none"/>
        </w:rPr>
        <w:t xml:space="preserve"> and Trade Balance</w:t>
      </w:r>
      <w:r w:rsidR="00832956">
        <w:rPr>
          <w:rFonts w:ascii="Arial" w:eastAsia="Times New Roman" w:hAnsi="Arial" w:cs="Arial"/>
          <w:kern w:val="0"/>
          <w14:ligatures w14:val="none"/>
        </w:rPr>
        <w:t xml:space="preserve"> (Fig. 2, 3)</w:t>
      </w:r>
    </w:p>
    <w:p w14:paraId="2D9589AA" w14:textId="0CD1B812" w:rsidR="003F6C50" w:rsidRDefault="003F6C50" w:rsidP="003F6C50">
      <w:pPr>
        <w:spacing w:after="0" w:line="480" w:lineRule="auto"/>
        <w:jc w:val="both"/>
        <w:rPr>
          <w:rFonts w:ascii="Arial" w:eastAsia="Times New Roman" w:hAnsi="Arial" w:cs="Arial"/>
          <w:kern w:val="0"/>
          <w14:ligatures w14:val="none"/>
        </w:rPr>
      </w:pPr>
      <w:r>
        <w:rPr>
          <w:rFonts w:ascii="Arial" w:eastAsia="Times New Roman" w:hAnsi="Arial" w:cs="Arial"/>
          <w:kern w:val="0"/>
          <w14:ligatures w14:val="none"/>
        </w:rPr>
        <w:tab/>
        <w:t xml:space="preserve">The difference between the correlation coefficients for Germany and Austria regarding Real GDP was not great. Perhaps Austria’s is greater, due to the size of the nation, or some influence of relative price levels. </w:t>
      </w:r>
      <w:r w:rsidR="00223AF0">
        <w:rPr>
          <w:rFonts w:ascii="Arial" w:eastAsia="Times New Roman" w:hAnsi="Arial" w:cs="Arial"/>
          <w:kern w:val="0"/>
          <w14:ligatures w14:val="none"/>
        </w:rPr>
        <w:t xml:space="preserve">The resulting p-values were not statistically significant, thus </w:t>
      </w:r>
      <w:r w:rsidR="00905DEF">
        <w:rPr>
          <w:rFonts w:ascii="Arial" w:eastAsia="Times New Roman" w:hAnsi="Arial" w:cs="Arial"/>
          <w:kern w:val="0"/>
          <w14:ligatures w14:val="none"/>
        </w:rPr>
        <w:t xml:space="preserve">leading to </w:t>
      </w:r>
      <w:r w:rsidR="00223AF0">
        <w:rPr>
          <w:rFonts w:ascii="Arial" w:eastAsia="Times New Roman" w:hAnsi="Arial" w:cs="Arial"/>
          <w:kern w:val="0"/>
          <w14:ligatures w14:val="none"/>
        </w:rPr>
        <w:t>a failure to reject the null hypothesis</w:t>
      </w:r>
      <w:r w:rsidR="002E2E4F">
        <w:rPr>
          <w:rFonts w:ascii="Arial" w:eastAsia="Times New Roman" w:hAnsi="Arial" w:cs="Arial"/>
          <w:kern w:val="0"/>
          <w14:ligatures w14:val="none"/>
        </w:rPr>
        <w:t xml:space="preserve">.  </w:t>
      </w:r>
      <w:r>
        <w:rPr>
          <w:rFonts w:ascii="Arial" w:eastAsia="Times New Roman" w:hAnsi="Arial" w:cs="Arial"/>
          <w:kern w:val="0"/>
          <w14:ligatures w14:val="none"/>
        </w:rPr>
        <w:t xml:space="preserve">The Balance of Trade having a neutral impact for both countries </w:t>
      </w:r>
      <w:r w:rsidR="00832956">
        <w:rPr>
          <w:rFonts w:ascii="Arial" w:eastAsia="Times New Roman" w:hAnsi="Arial" w:cs="Arial"/>
          <w:kern w:val="0"/>
          <w14:ligatures w14:val="none"/>
        </w:rPr>
        <w:t>were</w:t>
      </w:r>
      <w:r w:rsidR="00F76EC4">
        <w:rPr>
          <w:rFonts w:ascii="Arial" w:eastAsia="Times New Roman" w:hAnsi="Arial" w:cs="Arial"/>
          <w:kern w:val="0"/>
          <w14:ligatures w14:val="none"/>
        </w:rPr>
        <w:t xml:space="preserve"> </w:t>
      </w:r>
      <w:r>
        <w:rPr>
          <w:rFonts w:ascii="Arial" w:eastAsia="Times New Roman" w:hAnsi="Arial" w:cs="Arial"/>
          <w:kern w:val="0"/>
          <w14:ligatures w14:val="none"/>
        </w:rPr>
        <w:t xml:space="preserve">thoroughly surprising. One would </w:t>
      </w:r>
      <w:r>
        <w:rPr>
          <w:rFonts w:ascii="Arial" w:eastAsia="Times New Roman" w:hAnsi="Arial" w:cs="Arial"/>
          <w:kern w:val="0"/>
          <w14:ligatures w14:val="none"/>
        </w:rPr>
        <w:lastRenderedPageBreak/>
        <w:t xml:space="preserve">naturally assume that trade deficits and so on would impact foreign investment into the nation. </w:t>
      </w:r>
      <w:r w:rsidR="00223AF0">
        <w:rPr>
          <w:rFonts w:ascii="Arial" w:eastAsia="Times New Roman" w:hAnsi="Arial" w:cs="Arial"/>
          <w:kern w:val="0"/>
          <w14:ligatures w14:val="none"/>
        </w:rPr>
        <w:t>However, given the resulting p-values indicating very low statistical significance</w:t>
      </w:r>
      <w:r w:rsidR="00905DEF">
        <w:rPr>
          <w:rFonts w:ascii="Arial" w:eastAsia="Times New Roman" w:hAnsi="Arial" w:cs="Arial"/>
          <w:kern w:val="0"/>
          <w14:ligatures w14:val="none"/>
        </w:rPr>
        <w:t>,</w:t>
      </w:r>
      <w:r w:rsidR="00223AF0">
        <w:rPr>
          <w:rFonts w:ascii="Arial" w:eastAsia="Times New Roman" w:hAnsi="Arial" w:cs="Arial"/>
          <w:kern w:val="0"/>
          <w14:ligatures w14:val="none"/>
        </w:rPr>
        <w:t xml:space="preserve"> especially for Austria, the null hypothesis cannot be rejected. </w:t>
      </w:r>
    </w:p>
    <w:p w14:paraId="647C8085" w14:textId="533E95D7" w:rsidR="003F6C50" w:rsidRDefault="003F6C50" w:rsidP="003F6C50">
      <w:pPr>
        <w:spacing w:after="0" w:line="480" w:lineRule="auto"/>
        <w:jc w:val="both"/>
        <w:rPr>
          <w:rFonts w:ascii="Arial" w:eastAsia="Times New Roman" w:hAnsi="Arial" w:cs="Arial"/>
          <w:kern w:val="0"/>
          <w14:ligatures w14:val="none"/>
        </w:rPr>
      </w:pPr>
      <w:r>
        <w:rPr>
          <w:rFonts w:ascii="Arial" w:eastAsia="Times New Roman" w:hAnsi="Arial" w:cs="Arial"/>
          <w:b/>
          <w:bCs/>
          <w:kern w:val="0"/>
          <w14:ligatures w14:val="none"/>
        </w:rPr>
        <w:t xml:space="preserve">3.6 </w:t>
      </w:r>
      <w:r>
        <w:rPr>
          <w:rFonts w:ascii="Arial" w:eastAsia="Times New Roman" w:hAnsi="Arial" w:cs="Arial"/>
          <w:kern w:val="0"/>
          <w14:ligatures w14:val="none"/>
        </w:rPr>
        <w:t>Technological Innovation</w:t>
      </w:r>
      <w:r w:rsidR="00832956">
        <w:rPr>
          <w:rFonts w:ascii="Arial" w:eastAsia="Times New Roman" w:hAnsi="Arial" w:cs="Arial"/>
          <w:kern w:val="0"/>
          <w14:ligatures w14:val="none"/>
        </w:rPr>
        <w:t xml:space="preserve"> (Fig. 4)</w:t>
      </w:r>
    </w:p>
    <w:p w14:paraId="3F1BA957" w14:textId="3D24604B" w:rsidR="003F6C50" w:rsidRDefault="003F6C50" w:rsidP="003F6C50">
      <w:pPr>
        <w:spacing w:after="0" w:line="480" w:lineRule="auto"/>
        <w:jc w:val="both"/>
        <w:rPr>
          <w:rFonts w:ascii="Arial" w:eastAsia="Times New Roman" w:hAnsi="Arial" w:cs="Arial"/>
          <w:kern w:val="0"/>
          <w14:ligatures w14:val="none"/>
        </w:rPr>
      </w:pPr>
      <w:r>
        <w:rPr>
          <w:rFonts w:ascii="Arial" w:eastAsia="Times New Roman" w:hAnsi="Arial" w:cs="Arial"/>
          <w:kern w:val="0"/>
          <w14:ligatures w14:val="none"/>
        </w:rPr>
        <w:tab/>
        <w:t xml:space="preserve">Technological innovation having an impact on </w:t>
      </w:r>
      <w:r w:rsidR="00223AF0">
        <w:rPr>
          <w:rFonts w:ascii="Arial" w:eastAsia="Times New Roman" w:hAnsi="Arial" w:cs="Arial"/>
          <w:kern w:val="0"/>
          <w14:ligatures w14:val="none"/>
        </w:rPr>
        <w:t>FDI is</w:t>
      </w:r>
      <w:r w:rsidR="00905DEF">
        <w:rPr>
          <w:rFonts w:ascii="Arial" w:eastAsia="Times New Roman" w:hAnsi="Arial" w:cs="Arial"/>
          <w:kern w:val="0"/>
          <w14:ligatures w14:val="none"/>
        </w:rPr>
        <w:t xml:space="preserve"> </w:t>
      </w:r>
      <w:r w:rsidR="00223AF0">
        <w:rPr>
          <w:rFonts w:ascii="Arial" w:eastAsia="Times New Roman" w:hAnsi="Arial" w:cs="Arial"/>
          <w:kern w:val="0"/>
          <w14:ligatures w14:val="none"/>
        </w:rPr>
        <w:t xml:space="preserve">Taylor (2022). Although Germany’s </w:t>
      </w:r>
      <w:r w:rsidR="00905DEF">
        <w:rPr>
          <w:rFonts w:ascii="Arial" w:eastAsia="Times New Roman" w:hAnsi="Arial" w:cs="Arial"/>
          <w:kern w:val="0"/>
          <w14:ligatures w14:val="none"/>
        </w:rPr>
        <w:t>correlation</w:t>
      </w:r>
      <w:r w:rsidR="00223AF0">
        <w:rPr>
          <w:rFonts w:ascii="Arial" w:eastAsia="Times New Roman" w:hAnsi="Arial" w:cs="Arial"/>
          <w:kern w:val="0"/>
          <w14:ligatures w14:val="none"/>
        </w:rPr>
        <w:t xml:space="preserve"> seems low, the p-value indicates that the correlation coefficient is </w:t>
      </w:r>
      <w:r w:rsidR="00905DEF">
        <w:rPr>
          <w:rFonts w:ascii="Arial" w:eastAsia="Times New Roman" w:hAnsi="Arial" w:cs="Arial"/>
          <w:kern w:val="0"/>
          <w14:ligatures w14:val="none"/>
        </w:rPr>
        <w:t>not as robust as Austria’s</w:t>
      </w:r>
      <w:r w:rsidR="00223AF0">
        <w:rPr>
          <w:rFonts w:ascii="Arial" w:eastAsia="Times New Roman" w:hAnsi="Arial" w:cs="Arial"/>
          <w:kern w:val="0"/>
          <w14:ligatures w14:val="none"/>
        </w:rPr>
        <w:t xml:space="preserve">. However, both indicate a lack of statistical significance, and thus a failure to reject the null </w:t>
      </w:r>
      <w:r w:rsidR="00F76EC4">
        <w:rPr>
          <w:rFonts w:ascii="Arial" w:eastAsia="Times New Roman" w:hAnsi="Arial" w:cs="Arial"/>
          <w:kern w:val="0"/>
          <w14:ligatures w14:val="none"/>
        </w:rPr>
        <w:t>hypothesis.</w:t>
      </w:r>
    </w:p>
    <w:p w14:paraId="1803D22D" w14:textId="6844A311" w:rsidR="00223AF0" w:rsidRDefault="00223AF0" w:rsidP="003F6C50">
      <w:pPr>
        <w:spacing w:after="0" w:line="480" w:lineRule="auto"/>
        <w:jc w:val="both"/>
        <w:rPr>
          <w:rFonts w:ascii="Arial" w:eastAsia="Times New Roman" w:hAnsi="Arial" w:cs="Arial"/>
          <w:kern w:val="0"/>
          <w14:ligatures w14:val="none"/>
        </w:rPr>
      </w:pPr>
      <w:r>
        <w:rPr>
          <w:rFonts w:ascii="Arial" w:eastAsia="Times New Roman" w:hAnsi="Arial" w:cs="Arial"/>
          <w:b/>
          <w:bCs/>
          <w:kern w:val="0"/>
          <w14:ligatures w14:val="none"/>
        </w:rPr>
        <w:t>3.7</w:t>
      </w:r>
      <w:r>
        <w:rPr>
          <w:rFonts w:ascii="Arial" w:eastAsia="Times New Roman" w:hAnsi="Arial" w:cs="Arial"/>
          <w:kern w:val="0"/>
          <w14:ligatures w14:val="none"/>
        </w:rPr>
        <w:t xml:space="preserve"> HDI</w:t>
      </w:r>
      <w:r w:rsidR="00222D17">
        <w:rPr>
          <w:rFonts w:ascii="Arial" w:eastAsia="Times New Roman" w:hAnsi="Arial" w:cs="Arial"/>
          <w:kern w:val="0"/>
          <w14:ligatures w14:val="none"/>
        </w:rPr>
        <w:t>,</w:t>
      </w:r>
      <w:r>
        <w:rPr>
          <w:rFonts w:ascii="Arial" w:eastAsia="Times New Roman" w:hAnsi="Arial" w:cs="Arial"/>
          <w:kern w:val="0"/>
          <w14:ligatures w14:val="none"/>
        </w:rPr>
        <w:t xml:space="preserve"> Political Stability</w:t>
      </w:r>
      <w:r w:rsidR="001946FD">
        <w:rPr>
          <w:rFonts w:ascii="Arial" w:eastAsia="Times New Roman" w:hAnsi="Arial" w:cs="Arial"/>
          <w:kern w:val="0"/>
          <w14:ligatures w14:val="none"/>
        </w:rPr>
        <w:t>,</w:t>
      </w:r>
      <w:r w:rsidR="00222D17">
        <w:rPr>
          <w:rFonts w:ascii="Arial" w:eastAsia="Times New Roman" w:hAnsi="Arial" w:cs="Arial"/>
          <w:kern w:val="0"/>
          <w14:ligatures w14:val="none"/>
        </w:rPr>
        <w:t xml:space="preserve"> and Missing Data</w:t>
      </w:r>
    </w:p>
    <w:p w14:paraId="66FE2C02" w14:textId="15B95F73" w:rsidR="00223AF0" w:rsidRPr="00223AF0" w:rsidRDefault="00223AF0" w:rsidP="003F6C50">
      <w:pPr>
        <w:spacing w:after="0" w:line="480" w:lineRule="auto"/>
        <w:jc w:val="both"/>
        <w:rPr>
          <w:rFonts w:ascii="Arial" w:eastAsia="Times New Roman" w:hAnsi="Arial" w:cs="Arial"/>
          <w:kern w:val="0"/>
          <w14:ligatures w14:val="none"/>
        </w:rPr>
      </w:pPr>
      <w:r>
        <w:rPr>
          <w:rFonts w:ascii="Arial" w:eastAsia="Times New Roman" w:hAnsi="Arial" w:cs="Arial"/>
          <w:kern w:val="0"/>
          <w14:ligatures w14:val="none"/>
        </w:rPr>
        <w:tab/>
        <w:t xml:space="preserve">Both HDI and Political Stability seem to have little effect on FDI, although both had very, very weak p-values – thus a failure to reject the null hypothesis. </w:t>
      </w:r>
      <w:r w:rsidR="00D70C08">
        <w:rPr>
          <w:rFonts w:ascii="Arial" w:eastAsia="Times New Roman" w:hAnsi="Arial" w:cs="Arial"/>
          <w:kern w:val="0"/>
          <w14:ligatures w14:val="none"/>
        </w:rPr>
        <w:t>F</w:t>
      </w:r>
      <w:r w:rsidR="00F76EC4">
        <w:rPr>
          <w:rFonts w:ascii="Arial" w:eastAsia="Times New Roman" w:hAnsi="Arial" w:cs="Arial"/>
          <w:kern w:val="0"/>
          <w14:ligatures w14:val="none"/>
        </w:rPr>
        <w:t>or Political Stability</w:t>
      </w:r>
      <w:r w:rsidR="00D70C08">
        <w:rPr>
          <w:rFonts w:ascii="Arial" w:eastAsia="Times New Roman" w:hAnsi="Arial" w:cs="Arial"/>
          <w:kern w:val="0"/>
          <w14:ligatures w14:val="none"/>
        </w:rPr>
        <w:t xml:space="preserve"> (PS)</w:t>
      </w:r>
      <w:r w:rsidR="00F76EC4">
        <w:rPr>
          <w:rFonts w:ascii="Arial" w:eastAsia="Times New Roman" w:hAnsi="Arial" w:cs="Arial"/>
          <w:kern w:val="0"/>
          <w14:ligatures w14:val="none"/>
        </w:rPr>
        <w:t xml:space="preserve">, a lack of data could have influenced the results. </w:t>
      </w:r>
      <w:r w:rsidR="00905DEF">
        <w:rPr>
          <w:rFonts w:ascii="Arial" w:eastAsia="Times New Roman" w:hAnsi="Arial" w:cs="Arial"/>
          <w:kern w:val="0"/>
          <w14:ligatures w14:val="none"/>
        </w:rPr>
        <w:t>Moreover, given the status of both nations (as being highly stable), their relative HDI and WGI rankings could have little to no impact on the spirits of investors.</w:t>
      </w:r>
    </w:p>
    <w:p w14:paraId="5B5428A6" w14:textId="77777777" w:rsidR="00242429" w:rsidRPr="00242429" w:rsidRDefault="00242429" w:rsidP="00242429">
      <w:pPr>
        <w:spacing w:after="0" w:line="480" w:lineRule="auto"/>
        <w:jc w:val="both"/>
        <w:rPr>
          <w:rFonts w:ascii="Times New Roman" w:eastAsia="Times New Roman" w:hAnsi="Times New Roman" w:cs="Times New Roman"/>
          <w:kern w:val="0"/>
          <w14:ligatures w14:val="none"/>
        </w:rPr>
      </w:pPr>
      <w:r w:rsidRPr="00242429">
        <w:rPr>
          <w:rFonts w:ascii="Arial" w:eastAsia="Times New Roman" w:hAnsi="Arial" w:cs="Arial"/>
          <w:b/>
          <w:bCs/>
          <w:color w:val="000000"/>
          <w:kern w:val="0"/>
          <w:sz w:val="28"/>
          <w:szCs w:val="28"/>
          <w14:ligatures w14:val="none"/>
        </w:rPr>
        <w:t>4. CONCLUSION</w:t>
      </w:r>
    </w:p>
    <w:p w14:paraId="075A44C4" w14:textId="45BF9016" w:rsidR="00CE6EB2" w:rsidRPr="00CE6EB2" w:rsidRDefault="00F76EC4" w:rsidP="00CE6EB2">
      <w:pPr>
        <w:spacing w:after="240" w:line="480" w:lineRule="auto"/>
        <w:jc w:val="both"/>
        <w:rPr>
          <w:rFonts w:ascii="Times New Roman" w:eastAsia="Times New Roman" w:hAnsi="Times New Roman" w:cs="Times New Roman"/>
          <w:kern w:val="0"/>
          <w14:ligatures w14:val="none"/>
        </w:rPr>
        <w:sectPr w:rsidR="00CE6EB2" w:rsidRPr="00CE6EB2" w:rsidSect="0033660C">
          <w:footerReference w:type="default" r:id="rId7"/>
          <w:pgSz w:w="12240" w:h="15840"/>
          <w:pgMar w:top="1440" w:right="1440" w:bottom="1440" w:left="1440" w:header="720" w:footer="720" w:gutter="0"/>
          <w:cols w:space="720"/>
          <w:docGrid w:linePitch="360"/>
        </w:sectPr>
      </w:pPr>
      <w:r>
        <w:rPr>
          <w:rFonts w:ascii="Arial" w:eastAsia="Times New Roman" w:hAnsi="Arial" w:cs="Arial"/>
          <w:kern w:val="0"/>
          <w14:ligatures w14:val="none"/>
        </w:rPr>
        <w:tab/>
      </w:r>
      <w:r w:rsidR="00222D17">
        <w:rPr>
          <w:rFonts w:ascii="Arial" w:eastAsia="Times New Roman" w:hAnsi="Arial" w:cs="Arial"/>
          <w:kern w:val="0"/>
          <w14:ligatures w14:val="none"/>
        </w:rPr>
        <w:t xml:space="preserve">Not much can be drawn in terms of a conclusion regarding the findings of this paper, as the resulting p-values were too weak to reject any null hypotheses. However, one can make note that the exchange rate volatility for Germany correlated with net FDI inflows, and that the resulting p-value was </w:t>
      </w:r>
      <w:r w:rsidR="00222D17">
        <w:rPr>
          <w:rFonts w:ascii="Arial" w:eastAsia="Times New Roman" w:hAnsi="Arial" w:cs="Arial"/>
          <w:i/>
          <w:iCs/>
          <w:kern w:val="0"/>
          <w14:ligatures w14:val="none"/>
        </w:rPr>
        <w:t xml:space="preserve">close </w:t>
      </w:r>
      <w:r w:rsidR="00222D17">
        <w:rPr>
          <w:rFonts w:ascii="Arial" w:eastAsia="Times New Roman" w:hAnsi="Arial" w:cs="Arial"/>
          <w:kern w:val="0"/>
          <w14:ligatures w14:val="none"/>
        </w:rPr>
        <w:t xml:space="preserve">to being statistically significant – perhaps if there was more data, and one was able to remove some of the noisier data, and conduct a more thorough compilation and statistical analyses, </w:t>
      </w:r>
      <w:r w:rsidR="00D70C08">
        <w:rPr>
          <w:rFonts w:ascii="Arial" w:eastAsia="Times New Roman" w:hAnsi="Arial" w:cs="Arial"/>
          <w:kern w:val="0"/>
          <w14:ligatures w14:val="none"/>
        </w:rPr>
        <w:t>a more robust result could be attained</w:t>
      </w:r>
      <w:r w:rsidR="00905DEF">
        <w:rPr>
          <w:rFonts w:ascii="Arial" w:eastAsia="Times New Roman" w:hAnsi="Arial" w:cs="Arial"/>
          <w:kern w:val="0"/>
          <w14:ligatures w14:val="none"/>
        </w:rPr>
        <w:t xml:space="preserve">. </w:t>
      </w:r>
      <w:r w:rsidR="00D70C08">
        <w:rPr>
          <w:rFonts w:ascii="Arial" w:eastAsia="Times New Roman" w:hAnsi="Arial" w:cs="Arial"/>
          <w:kern w:val="0"/>
          <w14:ligatures w14:val="none"/>
        </w:rPr>
        <w:t xml:space="preserve">A simple correlation analysis is riddled with issues, primarily in differentiating between correlation and causation. Given the number of extraneous variables and </w:t>
      </w:r>
      <w:r w:rsidR="00D70C08">
        <w:rPr>
          <w:rFonts w:ascii="Arial" w:eastAsia="Times New Roman" w:hAnsi="Arial" w:cs="Arial"/>
          <w:kern w:val="0"/>
          <w14:ligatures w14:val="none"/>
        </w:rPr>
        <w:lastRenderedPageBreak/>
        <w:t xml:space="preserve">confounding variables, one cannot draw a solid conclusion through the results alone. </w:t>
      </w:r>
      <w:r w:rsidR="00905DEF">
        <w:rPr>
          <w:rFonts w:ascii="Arial" w:eastAsia="Times New Roman" w:hAnsi="Arial" w:cs="Arial"/>
          <w:kern w:val="0"/>
          <w14:ligatures w14:val="none"/>
        </w:rPr>
        <w:t>O</w:t>
      </w:r>
      <w:r w:rsidR="00222D17">
        <w:rPr>
          <w:rFonts w:ascii="Arial" w:eastAsia="Times New Roman" w:hAnsi="Arial" w:cs="Arial"/>
          <w:kern w:val="0"/>
          <w14:ligatures w14:val="none"/>
        </w:rPr>
        <w:t>ne can look to the literature review to find an indication of what is going on. Much like Tan et al</w:t>
      </w:r>
      <w:r w:rsidR="00D70C08">
        <w:rPr>
          <w:rFonts w:ascii="Arial" w:eastAsia="Times New Roman" w:hAnsi="Arial" w:cs="Arial"/>
          <w:kern w:val="0"/>
          <w14:ligatures w14:val="none"/>
        </w:rPr>
        <w:t>.,</w:t>
      </w:r>
      <w:r w:rsidR="00222D17">
        <w:rPr>
          <w:rFonts w:ascii="Arial" w:eastAsia="Times New Roman" w:hAnsi="Arial" w:cs="Arial"/>
          <w:kern w:val="0"/>
          <w14:ligatures w14:val="none"/>
        </w:rPr>
        <w:t xml:space="preserve"> (2021) states</w:t>
      </w:r>
      <w:r w:rsidR="00832956">
        <w:rPr>
          <w:rFonts w:ascii="Arial" w:eastAsia="Times New Roman" w:hAnsi="Arial" w:cs="Arial"/>
          <w:kern w:val="0"/>
          <w14:ligatures w14:val="none"/>
        </w:rPr>
        <w:t xml:space="preserve"> –</w:t>
      </w:r>
      <w:r w:rsidR="00222D17">
        <w:rPr>
          <w:rFonts w:ascii="Arial" w:eastAsia="Times New Roman" w:hAnsi="Arial" w:cs="Arial"/>
          <w:kern w:val="0"/>
          <w14:ligatures w14:val="none"/>
        </w:rPr>
        <w:t xml:space="preserve"> </w:t>
      </w:r>
      <w:r w:rsidR="00832956">
        <w:rPr>
          <w:rFonts w:ascii="Arial" w:eastAsia="Times New Roman" w:hAnsi="Arial" w:cs="Arial"/>
          <w:kern w:val="0"/>
          <w14:ligatures w14:val="none"/>
        </w:rPr>
        <w:t>“</w:t>
      </w:r>
      <w:r w:rsidR="00222D17">
        <w:rPr>
          <w:rFonts w:ascii="Arial" w:eastAsia="Times New Roman" w:hAnsi="Arial" w:cs="Arial"/>
          <w:kern w:val="0"/>
          <w14:ligatures w14:val="none"/>
        </w:rPr>
        <w:t>the determinants of FDI inflows are still unclear”. Intuitively, R&amp;D, PS, HDI, and E</w:t>
      </w:r>
      <w:r w:rsidR="00D70C08">
        <w:rPr>
          <w:rFonts w:ascii="Arial" w:eastAsia="Times New Roman" w:hAnsi="Arial" w:cs="Arial"/>
          <w:kern w:val="0"/>
          <w14:ligatures w14:val="none"/>
        </w:rPr>
        <w:t>xchange Rate Volatility</w:t>
      </w:r>
      <w:r w:rsidR="00222D17">
        <w:rPr>
          <w:rFonts w:ascii="Arial" w:eastAsia="Times New Roman" w:hAnsi="Arial" w:cs="Arial"/>
          <w:kern w:val="0"/>
          <w14:ligatures w14:val="none"/>
        </w:rPr>
        <w:t xml:space="preserve"> should play a part, and nations should focus on gearing economic policy with this in mind.</w:t>
      </w:r>
    </w:p>
    <w:p w14:paraId="794B7D73" w14:textId="77777777" w:rsidR="00CE6EB2" w:rsidRDefault="00242429" w:rsidP="00CE6EB2">
      <w:pPr>
        <w:spacing w:after="240" w:line="276" w:lineRule="auto"/>
        <w:rPr>
          <w:rFonts w:ascii="Times New Roman" w:eastAsia="Times New Roman" w:hAnsi="Times New Roman" w:cs="Times New Roman"/>
          <w:kern w:val="0"/>
          <w14:ligatures w14:val="none"/>
        </w:rPr>
      </w:pPr>
      <w:r w:rsidRPr="00242429">
        <w:rPr>
          <w:rFonts w:ascii="Arial" w:eastAsia="Times New Roman" w:hAnsi="Arial" w:cs="Arial"/>
          <w:b/>
          <w:bCs/>
          <w:color w:val="000000"/>
          <w:kern w:val="0"/>
          <w:sz w:val="28"/>
          <w:szCs w:val="28"/>
          <w14:ligatures w14:val="none"/>
        </w:rPr>
        <w:lastRenderedPageBreak/>
        <w:t>APPENDIX</w:t>
      </w:r>
    </w:p>
    <w:p w14:paraId="1953CFE1" w14:textId="09FE3BDF" w:rsidR="00832956" w:rsidRPr="00CE6EB2" w:rsidRDefault="00832956" w:rsidP="00CE6EB2">
      <w:pPr>
        <w:spacing w:after="240" w:line="276" w:lineRule="auto"/>
        <w:rPr>
          <w:rFonts w:ascii="Times New Roman" w:eastAsia="Times New Roman" w:hAnsi="Times New Roman" w:cs="Times New Roman"/>
          <w:kern w:val="0"/>
          <w14:ligatures w14:val="none"/>
        </w:rPr>
      </w:pPr>
      <w:r w:rsidRPr="00D70C08">
        <w:rPr>
          <w:rFonts w:ascii="Arial" w:eastAsia="Times New Roman" w:hAnsi="Arial" w:cs="Arial"/>
          <w:b/>
          <w:bCs/>
          <w:kern w:val="0"/>
          <w14:ligatures w14:val="none"/>
        </w:rPr>
        <w:t>Figure 1.</w:t>
      </w:r>
    </w:p>
    <w:p w14:paraId="124677BA" w14:textId="7E589058" w:rsidR="00832956" w:rsidRPr="00832956" w:rsidRDefault="00832956" w:rsidP="00242429">
      <w:pPr>
        <w:spacing w:after="240" w:line="240" w:lineRule="auto"/>
        <w:rPr>
          <w:rFonts w:ascii="Arial" w:eastAsia="Times New Roman" w:hAnsi="Arial" w:cs="Arial"/>
          <w:b/>
          <w:bCs/>
          <w:kern w:val="0"/>
          <w:lang w:val="fr-FR"/>
          <w14:ligatures w14:val="none"/>
        </w:rPr>
      </w:pPr>
      <w:r>
        <w:rPr>
          <w:rFonts w:ascii="Arial" w:eastAsia="Times New Roman" w:hAnsi="Arial" w:cs="Arial"/>
          <w:b/>
          <w:bCs/>
          <w:noProof/>
          <w:kern w:val="0"/>
          <w:lang w:val="fr-FR"/>
        </w:rPr>
        <w:drawing>
          <wp:inline distT="0" distB="0" distL="0" distR="0" wp14:anchorId="34A20945" wp14:editId="7252C568">
            <wp:extent cx="6953765" cy="4860985"/>
            <wp:effectExtent l="0" t="1588" r="0" b="0"/>
            <wp:docPr id="20820067" name="Picture 5"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0067" name="Picture 5" descr="A graph with a 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rot="5400000">
                      <a:off x="0" y="0"/>
                      <a:ext cx="7105120" cy="4966789"/>
                    </a:xfrm>
                    <a:prstGeom prst="rect">
                      <a:avLst/>
                    </a:prstGeom>
                  </pic:spPr>
                </pic:pic>
              </a:graphicData>
            </a:graphic>
          </wp:inline>
        </w:drawing>
      </w:r>
    </w:p>
    <w:p w14:paraId="289C13C9" w14:textId="77777777" w:rsidR="00CE6EB2" w:rsidRDefault="00CE6EB2" w:rsidP="00242429">
      <w:pPr>
        <w:spacing w:after="240" w:line="240" w:lineRule="auto"/>
        <w:rPr>
          <w:rFonts w:ascii="Arial" w:eastAsia="Times New Roman" w:hAnsi="Arial" w:cs="Arial"/>
          <w:b/>
          <w:bCs/>
          <w:kern w:val="0"/>
          <w:lang w:val="fr-FR"/>
          <w14:ligatures w14:val="none"/>
        </w:rPr>
      </w:pPr>
    </w:p>
    <w:p w14:paraId="1AA38B26" w14:textId="736C9BA6" w:rsidR="00832956" w:rsidRPr="00832956" w:rsidRDefault="00832956" w:rsidP="00242429">
      <w:pPr>
        <w:spacing w:after="240" w:line="240" w:lineRule="auto"/>
        <w:rPr>
          <w:rFonts w:ascii="Arial" w:eastAsia="Times New Roman" w:hAnsi="Arial" w:cs="Arial"/>
          <w:b/>
          <w:bCs/>
          <w:kern w:val="0"/>
          <w:lang w:val="fr-FR"/>
          <w14:ligatures w14:val="none"/>
        </w:rPr>
      </w:pPr>
      <w:r w:rsidRPr="00832956">
        <w:rPr>
          <w:rFonts w:ascii="Arial" w:eastAsia="Times New Roman" w:hAnsi="Arial" w:cs="Arial"/>
          <w:b/>
          <w:bCs/>
          <w:kern w:val="0"/>
          <w:lang w:val="fr-FR"/>
          <w14:ligatures w14:val="none"/>
        </w:rPr>
        <w:lastRenderedPageBreak/>
        <w:t>Figure 2.</w:t>
      </w:r>
    </w:p>
    <w:p w14:paraId="0A9A8C74" w14:textId="77777777" w:rsidR="00CE6EB2" w:rsidRDefault="00B92696" w:rsidP="00242429">
      <w:pPr>
        <w:spacing w:after="240" w:line="240" w:lineRule="auto"/>
        <w:rPr>
          <w:rFonts w:ascii="Arial" w:eastAsia="Times New Roman" w:hAnsi="Arial" w:cs="Arial"/>
          <w:b/>
          <w:bCs/>
          <w:kern w:val="0"/>
          <w:lang w:val="fr-FR"/>
          <w14:ligatures w14:val="none"/>
        </w:rPr>
      </w:pPr>
      <w:r>
        <w:rPr>
          <w:rFonts w:ascii="Arial" w:eastAsia="Times New Roman" w:hAnsi="Arial" w:cs="Arial"/>
          <w:b/>
          <w:bCs/>
          <w:noProof/>
          <w:kern w:val="0"/>
          <w:lang w:val="fr-FR"/>
        </w:rPr>
        <w:drawing>
          <wp:inline distT="0" distB="0" distL="0" distR="0" wp14:anchorId="2E726C55" wp14:editId="5F7BDB17">
            <wp:extent cx="7637437" cy="4834472"/>
            <wp:effectExtent l="0" t="8255" r="0" b="0"/>
            <wp:docPr id="1633934030" name="Picture 6" descr="A graph showing the growth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934030" name="Picture 6" descr="A graph showing the growth of a company&#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rot="5400000">
                      <a:off x="0" y="0"/>
                      <a:ext cx="7714749" cy="4883410"/>
                    </a:xfrm>
                    <a:prstGeom prst="rect">
                      <a:avLst/>
                    </a:prstGeom>
                  </pic:spPr>
                </pic:pic>
              </a:graphicData>
            </a:graphic>
          </wp:inline>
        </w:drawing>
      </w:r>
    </w:p>
    <w:p w14:paraId="52B3940D" w14:textId="2A834FD6" w:rsidR="00832956" w:rsidRPr="00832956" w:rsidRDefault="00832956" w:rsidP="00242429">
      <w:pPr>
        <w:spacing w:after="240" w:line="240" w:lineRule="auto"/>
        <w:rPr>
          <w:rFonts w:ascii="Arial" w:eastAsia="Times New Roman" w:hAnsi="Arial" w:cs="Arial"/>
          <w:b/>
          <w:bCs/>
          <w:kern w:val="0"/>
          <w:lang w:val="fr-FR"/>
          <w14:ligatures w14:val="none"/>
        </w:rPr>
      </w:pPr>
      <w:r w:rsidRPr="00832956">
        <w:rPr>
          <w:rFonts w:ascii="Arial" w:eastAsia="Times New Roman" w:hAnsi="Arial" w:cs="Arial"/>
          <w:b/>
          <w:bCs/>
          <w:kern w:val="0"/>
          <w:lang w:val="fr-FR"/>
          <w14:ligatures w14:val="none"/>
        </w:rPr>
        <w:lastRenderedPageBreak/>
        <w:t>Figure 3.</w:t>
      </w:r>
    </w:p>
    <w:p w14:paraId="0BD9B62D" w14:textId="796AA682" w:rsidR="00B92696" w:rsidRPr="00832956" w:rsidRDefault="00B92696" w:rsidP="00242429">
      <w:pPr>
        <w:spacing w:after="240" w:line="240" w:lineRule="auto"/>
        <w:rPr>
          <w:rFonts w:ascii="Arial" w:eastAsia="Times New Roman" w:hAnsi="Arial" w:cs="Arial"/>
          <w:b/>
          <w:bCs/>
          <w:kern w:val="0"/>
          <w:lang w:val="fr-FR"/>
          <w14:ligatures w14:val="none"/>
        </w:rPr>
      </w:pPr>
      <w:r>
        <w:rPr>
          <w:rFonts w:ascii="Arial" w:eastAsia="Times New Roman" w:hAnsi="Arial" w:cs="Arial"/>
          <w:b/>
          <w:bCs/>
          <w:noProof/>
          <w:kern w:val="0"/>
          <w:lang w:val="fr-FR"/>
        </w:rPr>
        <w:drawing>
          <wp:inline distT="0" distB="0" distL="0" distR="0" wp14:anchorId="12D39578" wp14:editId="4AC59467">
            <wp:extent cx="7059930" cy="5109344"/>
            <wp:effectExtent l="3810" t="0" r="0" b="0"/>
            <wp:docPr id="544478894" name="Picture 7" descr="A graph on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478894" name="Picture 7" descr="A graph on a scree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rot="5400000">
                      <a:off x="0" y="0"/>
                      <a:ext cx="7070711" cy="5117146"/>
                    </a:xfrm>
                    <a:prstGeom prst="rect">
                      <a:avLst/>
                    </a:prstGeom>
                  </pic:spPr>
                </pic:pic>
              </a:graphicData>
            </a:graphic>
          </wp:inline>
        </w:drawing>
      </w:r>
    </w:p>
    <w:p w14:paraId="4F72220B" w14:textId="77777777" w:rsidR="00CE6EB2" w:rsidRDefault="00CE6EB2" w:rsidP="00242429">
      <w:pPr>
        <w:spacing w:after="240" w:line="240" w:lineRule="auto"/>
        <w:rPr>
          <w:rFonts w:ascii="Arial" w:eastAsia="Times New Roman" w:hAnsi="Arial" w:cs="Arial"/>
          <w:b/>
          <w:bCs/>
          <w:kern w:val="0"/>
          <w:lang w:val="fr-FR"/>
          <w14:ligatures w14:val="none"/>
        </w:rPr>
      </w:pPr>
    </w:p>
    <w:p w14:paraId="2CCFEF51" w14:textId="77777777" w:rsidR="00CE6EB2" w:rsidRDefault="00CE6EB2" w:rsidP="00242429">
      <w:pPr>
        <w:spacing w:after="240" w:line="240" w:lineRule="auto"/>
        <w:rPr>
          <w:rFonts w:ascii="Arial" w:eastAsia="Times New Roman" w:hAnsi="Arial" w:cs="Arial"/>
          <w:b/>
          <w:bCs/>
          <w:kern w:val="0"/>
          <w:lang w:val="fr-FR"/>
          <w14:ligatures w14:val="none"/>
        </w:rPr>
      </w:pPr>
    </w:p>
    <w:p w14:paraId="66ABC1F5" w14:textId="100F0F70" w:rsidR="00832956" w:rsidRDefault="00832956" w:rsidP="00242429">
      <w:pPr>
        <w:spacing w:after="240" w:line="240" w:lineRule="auto"/>
        <w:rPr>
          <w:rFonts w:ascii="Arial" w:eastAsia="Times New Roman" w:hAnsi="Arial" w:cs="Arial"/>
          <w:b/>
          <w:bCs/>
          <w:kern w:val="0"/>
          <w:lang w:val="fr-FR"/>
          <w14:ligatures w14:val="none"/>
        </w:rPr>
      </w:pPr>
      <w:r w:rsidRPr="00832956">
        <w:rPr>
          <w:rFonts w:ascii="Arial" w:eastAsia="Times New Roman" w:hAnsi="Arial" w:cs="Arial"/>
          <w:b/>
          <w:bCs/>
          <w:kern w:val="0"/>
          <w:lang w:val="fr-FR"/>
          <w14:ligatures w14:val="none"/>
        </w:rPr>
        <w:lastRenderedPageBreak/>
        <w:t xml:space="preserve">Figure </w:t>
      </w:r>
      <w:r>
        <w:rPr>
          <w:rFonts w:ascii="Arial" w:eastAsia="Times New Roman" w:hAnsi="Arial" w:cs="Arial"/>
          <w:b/>
          <w:bCs/>
          <w:kern w:val="0"/>
          <w:lang w:val="fr-FR"/>
          <w14:ligatures w14:val="none"/>
        </w:rPr>
        <w:t>4</w:t>
      </w:r>
      <w:r w:rsidRPr="00832956">
        <w:rPr>
          <w:rFonts w:ascii="Arial" w:eastAsia="Times New Roman" w:hAnsi="Arial" w:cs="Arial"/>
          <w:b/>
          <w:bCs/>
          <w:kern w:val="0"/>
          <w:lang w:val="fr-FR"/>
          <w14:ligatures w14:val="none"/>
        </w:rPr>
        <w:t>.</w:t>
      </w:r>
    </w:p>
    <w:p w14:paraId="46132D85" w14:textId="3D4A4B06" w:rsidR="00832956" w:rsidRDefault="00B92696" w:rsidP="00242429">
      <w:pPr>
        <w:spacing w:after="240" w:line="240" w:lineRule="auto"/>
        <w:rPr>
          <w:rFonts w:ascii="Arial" w:eastAsia="Times New Roman" w:hAnsi="Arial" w:cs="Arial"/>
          <w:b/>
          <w:bCs/>
          <w:kern w:val="0"/>
          <w:lang w:val="fr-FR"/>
          <w14:ligatures w14:val="none"/>
        </w:rPr>
      </w:pPr>
      <w:r>
        <w:rPr>
          <w:rFonts w:ascii="Arial" w:eastAsia="Times New Roman" w:hAnsi="Arial" w:cs="Arial"/>
          <w:b/>
          <w:bCs/>
          <w:noProof/>
          <w:kern w:val="0"/>
          <w:lang w:val="fr-FR"/>
        </w:rPr>
        <w:drawing>
          <wp:inline distT="0" distB="0" distL="0" distR="0" wp14:anchorId="662D083C" wp14:editId="67F613BE">
            <wp:extent cx="7141210" cy="5233296"/>
            <wp:effectExtent l="1587" t="0" r="4128" b="4127"/>
            <wp:docPr id="355001851" name="Picture 8"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001851" name="Picture 8" descr="A graph with a line and a li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rot="5400000">
                      <a:off x="0" y="0"/>
                      <a:ext cx="7188500" cy="5267952"/>
                    </a:xfrm>
                    <a:prstGeom prst="rect">
                      <a:avLst/>
                    </a:prstGeom>
                  </pic:spPr>
                </pic:pic>
              </a:graphicData>
            </a:graphic>
          </wp:inline>
        </w:drawing>
      </w:r>
    </w:p>
    <w:p w14:paraId="379785E9" w14:textId="7574E47D" w:rsidR="002F2C1B" w:rsidRDefault="001946FD" w:rsidP="001946FD">
      <w:pPr>
        <w:spacing w:after="240" w:line="240" w:lineRule="auto"/>
        <w:rPr>
          <w:rFonts w:ascii="Arial" w:eastAsia="Times New Roman" w:hAnsi="Arial" w:cs="Arial"/>
          <w:kern w:val="0"/>
          <w14:ligatures w14:val="none"/>
        </w:rPr>
        <w:sectPr w:rsidR="002F2C1B" w:rsidSect="0033660C">
          <w:pgSz w:w="12240" w:h="15840"/>
          <w:pgMar w:top="1440" w:right="1440" w:bottom="1440" w:left="1440" w:header="720" w:footer="720" w:gutter="0"/>
          <w:cols w:space="720"/>
          <w:docGrid w:linePitch="360"/>
        </w:sectPr>
      </w:pPr>
      <w:r w:rsidRPr="00B92696">
        <w:rPr>
          <w:rFonts w:ascii="Arial" w:eastAsia="Times New Roman" w:hAnsi="Arial" w:cs="Arial"/>
          <w:kern w:val="0"/>
          <w14:ligatures w14:val="none"/>
        </w:rPr>
        <w:t>Source:</w:t>
      </w:r>
      <w:r w:rsidR="00B92696" w:rsidRPr="00B92696">
        <w:rPr>
          <w:rFonts w:ascii="Arial" w:eastAsia="Times New Roman" w:hAnsi="Arial" w:cs="Arial"/>
          <w:kern w:val="0"/>
          <w14:ligatures w14:val="none"/>
        </w:rPr>
        <w:t xml:space="preserve"> The World B</w:t>
      </w:r>
      <w:r w:rsidR="00B92696">
        <w:rPr>
          <w:rFonts w:ascii="Arial" w:eastAsia="Times New Roman" w:hAnsi="Arial" w:cs="Arial"/>
          <w:kern w:val="0"/>
          <w14:ligatures w14:val="none"/>
        </w:rPr>
        <w:t>ank – R&amp;D Expenditure (% of GDP) - Germany, Austri</w:t>
      </w:r>
      <w:r w:rsidR="00905DEF">
        <w:rPr>
          <w:rFonts w:ascii="Arial" w:eastAsia="Times New Roman" w:hAnsi="Arial" w:cs="Arial"/>
          <w:kern w:val="0"/>
          <w14:ligatures w14:val="none"/>
        </w:rPr>
        <w:t>a.</w:t>
      </w:r>
    </w:p>
    <w:p w14:paraId="1EFBC917" w14:textId="3526CE4E" w:rsidR="00242429" w:rsidRPr="00242429" w:rsidRDefault="00242429" w:rsidP="00905DEF">
      <w:pPr>
        <w:spacing w:after="0" w:line="480" w:lineRule="auto"/>
        <w:jc w:val="center"/>
        <w:rPr>
          <w:rFonts w:ascii="Times New Roman" w:eastAsia="Times New Roman" w:hAnsi="Times New Roman" w:cs="Times New Roman"/>
          <w:kern w:val="0"/>
          <w14:ligatures w14:val="none"/>
        </w:rPr>
      </w:pPr>
      <w:r w:rsidRPr="00242429">
        <w:rPr>
          <w:rFonts w:ascii="Arial" w:eastAsia="Times New Roman" w:hAnsi="Arial" w:cs="Arial"/>
          <w:b/>
          <w:bCs/>
          <w:color w:val="000000"/>
          <w:kern w:val="0"/>
          <w:sz w:val="28"/>
          <w:szCs w:val="28"/>
          <w14:ligatures w14:val="none"/>
        </w:rPr>
        <w:lastRenderedPageBreak/>
        <w:t>BIBLIOGRAPHY</w:t>
      </w:r>
      <w:r w:rsidR="00982E89">
        <w:rPr>
          <w:rStyle w:val="FootnoteReference"/>
          <w:rFonts w:ascii="Arial" w:eastAsia="Times New Roman" w:hAnsi="Arial" w:cs="Arial"/>
          <w:b/>
          <w:bCs/>
          <w:color w:val="000000"/>
          <w:kern w:val="0"/>
          <w:sz w:val="28"/>
          <w:szCs w:val="28"/>
          <w14:ligatures w14:val="none"/>
        </w:rPr>
        <w:footnoteReference w:id="1"/>
      </w:r>
    </w:p>
    <w:p w14:paraId="5C48B811" w14:textId="6D341D3F" w:rsidR="00242429" w:rsidRDefault="002F2C1B" w:rsidP="00414632">
      <w:pPr>
        <w:spacing w:line="276" w:lineRule="auto"/>
        <w:rPr>
          <w:rFonts w:ascii="Arial" w:hAnsi="Arial" w:cs="Arial"/>
          <w:color w:val="000000"/>
        </w:rPr>
      </w:pPr>
      <w:r>
        <w:rPr>
          <w:rFonts w:ascii="Arial" w:hAnsi="Arial" w:cs="Arial"/>
          <w:color w:val="000000"/>
        </w:rPr>
        <w:t xml:space="preserve">Lasbrey, A., Enyoghasim, M., Tobe, A., Uwajumogu, N., &amp; Chukwu, B. (2018). Foreign Direct Investment and Economic Growth: Literature from 1980 to 2018. </w:t>
      </w:r>
      <w:r>
        <w:rPr>
          <w:rFonts w:ascii="Arial" w:hAnsi="Arial" w:cs="Arial"/>
          <w:i/>
          <w:iCs/>
          <w:color w:val="000000"/>
        </w:rPr>
        <w:t>International Journal of Economics and Financial Issues</w:t>
      </w:r>
      <w:r>
        <w:rPr>
          <w:rFonts w:ascii="Arial" w:hAnsi="Arial" w:cs="Arial"/>
          <w:color w:val="000000"/>
        </w:rPr>
        <w:t>, 8(5), 309-318.</w:t>
      </w:r>
    </w:p>
    <w:p w14:paraId="700970C7" w14:textId="77777777" w:rsidR="002F2C1B" w:rsidRDefault="002F2C1B" w:rsidP="00414632">
      <w:pPr>
        <w:spacing w:line="360" w:lineRule="auto"/>
        <w:rPr>
          <w:rFonts w:ascii="Arial" w:hAnsi="Arial" w:cs="Arial"/>
          <w:color w:val="000000"/>
        </w:rPr>
      </w:pPr>
    </w:p>
    <w:p w14:paraId="76797F45" w14:textId="1B5DB52A" w:rsidR="002F2C1B" w:rsidRDefault="002F2C1B" w:rsidP="00414632">
      <w:pPr>
        <w:spacing w:line="276" w:lineRule="auto"/>
        <w:rPr>
          <w:rFonts w:ascii="Arial" w:hAnsi="Arial" w:cs="Arial"/>
          <w:color w:val="000000"/>
        </w:rPr>
      </w:pPr>
      <w:r w:rsidRPr="002F2C1B">
        <w:rPr>
          <w:rFonts w:ascii="Arial" w:hAnsi="Arial" w:cs="Arial"/>
          <w:color w:val="000000"/>
          <w:lang w:val="de-DE"/>
        </w:rPr>
        <w:t xml:space="preserve">Owusu-Nantwi, V., &amp; Erickson, C. (2019). </w:t>
      </w:r>
      <w:r>
        <w:rPr>
          <w:rFonts w:ascii="Arial" w:hAnsi="Arial" w:cs="Arial"/>
          <w:color w:val="000000"/>
        </w:rPr>
        <w:t xml:space="preserve">Foreign direct investment and economic growth in South America. </w:t>
      </w:r>
      <w:r>
        <w:rPr>
          <w:rFonts w:ascii="Arial" w:hAnsi="Arial" w:cs="Arial"/>
          <w:i/>
          <w:iCs/>
          <w:color w:val="000000"/>
        </w:rPr>
        <w:t>Journal of Economic Studies</w:t>
      </w:r>
      <w:r>
        <w:rPr>
          <w:rFonts w:ascii="Arial" w:hAnsi="Arial" w:cs="Arial"/>
          <w:color w:val="000000"/>
        </w:rPr>
        <w:t>, 46(2). Article publication date: 4 March 2019.</w:t>
      </w:r>
    </w:p>
    <w:p w14:paraId="53971805" w14:textId="77777777" w:rsidR="002F2C1B" w:rsidRDefault="002F2C1B" w:rsidP="00414632">
      <w:pPr>
        <w:spacing w:line="360" w:lineRule="auto"/>
        <w:rPr>
          <w:rFonts w:ascii="Arial" w:hAnsi="Arial" w:cs="Arial"/>
          <w:color w:val="000000"/>
        </w:rPr>
      </w:pPr>
    </w:p>
    <w:p w14:paraId="2136F8B1" w14:textId="2EF1937A" w:rsidR="002F2C1B" w:rsidRDefault="002F2C1B" w:rsidP="00414632">
      <w:pPr>
        <w:spacing w:line="276" w:lineRule="auto"/>
        <w:rPr>
          <w:rFonts w:ascii="Arial" w:hAnsi="Arial" w:cs="Arial"/>
          <w:color w:val="000000"/>
        </w:rPr>
      </w:pPr>
      <w:r w:rsidRPr="002F2C1B">
        <w:rPr>
          <w:rFonts w:ascii="Arial" w:hAnsi="Arial" w:cs="Arial"/>
          <w:color w:val="000000"/>
          <w:lang w:val="sv-SE"/>
        </w:rPr>
        <w:t xml:space="preserve">Chandra, T. A., &amp; Handoyo, R. D. (2020). </w:t>
      </w:r>
      <w:r>
        <w:rPr>
          <w:rFonts w:ascii="Arial" w:hAnsi="Arial" w:cs="Arial"/>
          <w:color w:val="000000"/>
        </w:rPr>
        <w:t xml:space="preserve">Determinants of Foreign Direct Investment in 31 Asian Countries for the 2002 - 2017 Period. </w:t>
      </w:r>
      <w:r>
        <w:rPr>
          <w:rFonts w:ascii="Arial" w:hAnsi="Arial" w:cs="Arial"/>
          <w:i/>
          <w:iCs/>
          <w:color w:val="000000"/>
        </w:rPr>
        <w:t>Contemporary Economics</w:t>
      </w:r>
      <w:r>
        <w:rPr>
          <w:rFonts w:ascii="Arial" w:hAnsi="Arial" w:cs="Arial"/>
          <w:color w:val="000000"/>
        </w:rPr>
        <w:t>, 14(2020), Issue 4, 566-581.</w:t>
      </w:r>
    </w:p>
    <w:p w14:paraId="0DA4637C" w14:textId="77777777" w:rsidR="002F2C1B" w:rsidRDefault="002F2C1B" w:rsidP="00414632">
      <w:pPr>
        <w:spacing w:line="360" w:lineRule="auto"/>
        <w:rPr>
          <w:rFonts w:ascii="Arial" w:hAnsi="Arial" w:cs="Arial"/>
          <w:color w:val="000000"/>
        </w:rPr>
      </w:pPr>
    </w:p>
    <w:p w14:paraId="631EED7A" w14:textId="621465E4" w:rsidR="002F2C1B" w:rsidRDefault="002F2C1B" w:rsidP="00414632">
      <w:pPr>
        <w:spacing w:line="276" w:lineRule="auto"/>
      </w:pPr>
      <w:r w:rsidRPr="002F2C1B">
        <w:rPr>
          <w:rFonts w:ascii="Arial" w:hAnsi="Arial" w:cs="Arial"/>
          <w:color w:val="000000"/>
          <w:lang w:val="de-DE"/>
        </w:rPr>
        <w:t xml:space="preserve">Taylor, M. P., Hsu, H. P., Wang, Z., &amp; Xu, Q. (2022). </w:t>
      </w:r>
      <w:r>
        <w:rPr>
          <w:rFonts w:ascii="Arial" w:hAnsi="Arial" w:cs="Arial"/>
          <w:color w:val="000000"/>
        </w:rPr>
        <w:t xml:space="preserve">Currency volatility and global technological innovation. Journal of International Economics, 137. </w:t>
      </w:r>
      <w:hyperlink r:id="rId12" w:history="1">
        <w:r>
          <w:rPr>
            <w:rStyle w:val="Hyperlink"/>
            <w:rFonts w:ascii="Arial" w:hAnsi="Arial" w:cs="Arial"/>
            <w:color w:val="1155CC"/>
          </w:rPr>
          <w:t>https://doi.org/10.1016/j.jinteco.2022.103607</w:t>
        </w:r>
      </w:hyperlink>
    </w:p>
    <w:p w14:paraId="0DAC82F2" w14:textId="77777777" w:rsidR="002F2C1B" w:rsidRDefault="002F2C1B" w:rsidP="00414632">
      <w:pPr>
        <w:spacing w:line="360" w:lineRule="auto"/>
      </w:pPr>
    </w:p>
    <w:p w14:paraId="310C6CEB" w14:textId="17DA5F5E" w:rsidR="002F2C1B" w:rsidRDefault="002F2C1B" w:rsidP="00414632">
      <w:pPr>
        <w:spacing w:line="276" w:lineRule="auto"/>
      </w:pPr>
      <w:r>
        <w:rPr>
          <w:rFonts w:ascii="Arial" w:hAnsi="Arial" w:cs="Arial"/>
          <w:color w:val="000000"/>
        </w:rPr>
        <w:t xml:space="preserve">Nguyen, A., &amp; Cieślik, A. (2020). Determinants of Foreign Direct Investment from Europe to Asia. Journal of The World Economy, 44(6), 1842-1858. </w:t>
      </w:r>
      <w:hyperlink r:id="rId13" w:history="1">
        <w:r>
          <w:rPr>
            <w:rStyle w:val="Hyperlink"/>
            <w:rFonts w:ascii="Arial" w:hAnsi="Arial" w:cs="Arial"/>
            <w:color w:val="1155CC"/>
          </w:rPr>
          <w:t>https://doi.org/10.1111/twec.13064</w:t>
        </w:r>
      </w:hyperlink>
    </w:p>
    <w:p w14:paraId="577A154F" w14:textId="77777777" w:rsidR="002F2C1B" w:rsidRDefault="002F2C1B" w:rsidP="00414632">
      <w:pPr>
        <w:spacing w:line="360" w:lineRule="auto"/>
      </w:pPr>
    </w:p>
    <w:p w14:paraId="245352FB" w14:textId="6FC35D56" w:rsidR="002F2C1B" w:rsidRDefault="002F2C1B" w:rsidP="00414632">
      <w:pPr>
        <w:pStyle w:val="NormalWeb"/>
        <w:spacing w:before="0" w:beforeAutospacing="0" w:after="0" w:afterAutospacing="0" w:line="276" w:lineRule="auto"/>
        <w:jc w:val="both"/>
      </w:pPr>
      <w:r w:rsidRPr="002F2C1B">
        <w:rPr>
          <w:rFonts w:ascii="Arial" w:hAnsi="Arial" w:cs="Arial"/>
          <w:color w:val="000000"/>
          <w:lang w:val="de-DE"/>
        </w:rPr>
        <w:t xml:space="preserve">Hanusch, M., Nguyen, H. A., &amp; Algu, Y. (2018). </w:t>
      </w:r>
      <w:r>
        <w:rPr>
          <w:rFonts w:ascii="Arial" w:hAnsi="Arial" w:cs="Arial"/>
          <w:color w:val="000000"/>
        </w:rPr>
        <w:t xml:space="preserve">Exchange Rate Volatility and FDI Inflows: Evidence from Cross-Country Panel Data. MTI Global Practice Discussion Paper; No. 2. World Bank Group, Washington, DC. </w:t>
      </w:r>
      <w:hyperlink r:id="rId14" w:history="1">
        <w:r>
          <w:rPr>
            <w:rStyle w:val="Hyperlink"/>
            <w:rFonts w:ascii="Arial" w:eastAsiaTheme="majorEastAsia" w:hAnsi="Arial" w:cs="Arial"/>
            <w:color w:val="1155CC"/>
          </w:rPr>
          <w:t>https://hdl.handle.net/10986/29911</w:t>
        </w:r>
      </w:hyperlink>
    </w:p>
    <w:p w14:paraId="1A161B7A" w14:textId="77777777" w:rsidR="002F2C1B" w:rsidRDefault="002F2C1B" w:rsidP="00414632">
      <w:pPr>
        <w:pStyle w:val="NormalWeb"/>
        <w:spacing w:before="0" w:beforeAutospacing="0" w:after="0" w:afterAutospacing="0" w:line="360" w:lineRule="auto"/>
        <w:jc w:val="both"/>
      </w:pPr>
    </w:p>
    <w:p w14:paraId="6EAC6E68" w14:textId="2FB6AF59" w:rsidR="002F2C1B" w:rsidRDefault="002F2C1B" w:rsidP="00414632">
      <w:pPr>
        <w:pStyle w:val="NormalWeb"/>
        <w:spacing w:before="0" w:beforeAutospacing="0" w:after="0" w:afterAutospacing="0" w:line="276" w:lineRule="auto"/>
        <w:jc w:val="both"/>
      </w:pPr>
      <w:r>
        <w:rPr>
          <w:rFonts w:ascii="Arial" w:hAnsi="Arial" w:cs="Arial"/>
          <w:color w:val="000000"/>
        </w:rPr>
        <w:t xml:space="preserve">Ahmed, B., &amp; Azzouzi, A. (2019). Impact of the Exchange Rate and Price Volatility on FDI Inflows: Case of Morocco and Turkey. Journal of Applied Economics and Finance, 6(3). Retrieved from </w:t>
      </w:r>
      <w:hyperlink r:id="rId15" w:history="1">
        <w:r>
          <w:rPr>
            <w:rStyle w:val="Hyperlink"/>
            <w:rFonts w:ascii="Arial" w:eastAsiaTheme="majorEastAsia" w:hAnsi="Arial" w:cs="Arial"/>
            <w:color w:val="1155CC"/>
          </w:rPr>
          <w:t>http://aef.redfame.com</w:t>
        </w:r>
      </w:hyperlink>
    </w:p>
    <w:p w14:paraId="72E7B39F" w14:textId="77777777" w:rsidR="002F2C1B" w:rsidRDefault="002F2C1B" w:rsidP="00414632">
      <w:pPr>
        <w:pStyle w:val="NormalWeb"/>
        <w:spacing w:before="0" w:beforeAutospacing="0" w:after="0" w:afterAutospacing="0" w:line="360" w:lineRule="auto"/>
        <w:jc w:val="both"/>
      </w:pPr>
    </w:p>
    <w:p w14:paraId="0462A9F9" w14:textId="77777777" w:rsidR="002F2C1B" w:rsidRDefault="002F2C1B" w:rsidP="00414632">
      <w:pPr>
        <w:pStyle w:val="NormalWeb"/>
        <w:spacing w:before="0" w:beforeAutospacing="0" w:after="0" w:afterAutospacing="0" w:line="360" w:lineRule="auto"/>
        <w:jc w:val="both"/>
      </w:pPr>
    </w:p>
    <w:p w14:paraId="4322259D" w14:textId="4EE6B294" w:rsidR="002F2C1B" w:rsidRDefault="002F2C1B" w:rsidP="00414632">
      <w:pPr>
        <w:pStyle w:val="NormalWeb"/>
        <w:spacing w:before="0" w:beforeAutospacing="0" w:after="0" w:afterAutospacing="0" w:line="276" w:lineRule="auto"/>
        <w:jc w:val="both"/>
      </w:pPr>
      <w:r>
        <w:rPr>
          <w:rFonts w:ascii="Arial" w:hAnsi="Arial" w:cs="Arial"/>
          <w:color w:val="000000"/>
        </w:rPr>
        <w:t xml:space="preserve">Lajevardi, H., &amp; Chowdhury, M. (2024). How Does the Exchange Rate and Its Volatility Influence FDI to Canada? A Disaggregated Analysis. </w:t>
      </w:r>
      <w:r>
        <w:rPr>
          <w:rFonts w:ascii="Arial" w:hAnsi="Arial" w:cs="Arial"/>
          <w:i/>
          <w:iCs/>
          <w:color w:val="000000"/>
        </w:rPr>
        <w:t>Journal of Risk and Financial Management</w:t>
      </w:r>
      <w:r>
        <w:rPr>
          <w:rFonts w:ascii="Arial" w:hAnsi="Arial" w:cs="Arial"/>
          <w:color w:val="000000"/>
        </w:rPr>
        <w:t xml:space="preserve">, 17(2), 88. </w:t>
      </w:r>
      <w:hyperlink r:id="rId16" w:history="1">
        <w:r>
          <w:rPr>
            <w:rStyle w:val="Hyperlink"/>
            <w:rFonts w:ascii="Arial" w:eastAsiaTheme="majorEastAsia" w:hAnsi="Arial" w:cs="Arial"/>
            <w:color w:val="1155CC"/>
          </w:rPr>
          <w:t>https://doi.org/10.</w:t>
        </w:r>
        <w:r>
          <w:rPr>
            <w:rStyle w:val="Hyperlink"/>
            <w:rFonts w:ascii="Arial" w:eastAsiaTheme="majorEastAsia" w:hAnsi="Arial" w:cs="Arial"/>
            <w:color w:val="1155CC"/>
          </w:rPr>
          <w:t>3</w:t>
        </w:r>
        <w:r>
          <w:rPr>
            <w:rStyle w:val="Hyperlink"/>
            <w:rFonts w:ascii="Arial" w:eastAsiaTheme="majorEastAsia" w:hAnsi="Arial" w:cs="Arial"/>
            <w:color w:val="1155CC"/>
          </w:rPr>
          <w:t>390/jrfm17020088</w:t>
        </w:r>
      </w:hyperlink>
    </w:p>
    <w:p w14:paraId="5175E443" w14:textId="77777777" w:rsidR="002F2C1B" w:rsidRDefault="002F2C1B" w:rsidP="00414632">
      <w:pPr>
        <w:pStyle w:val="NormalWeb"/>
        <w:spacing w:before="0" w:beforeAutospacing="0" w:after="0" w:afterAutospacing="0" w:line="360" w:lineRule="auto"/>
        <w:jc w:val="both"/>
      </w:pPr>
    </w:p>
    <w:p w14:paraId="72F29073" w14:textId="70C3B962" w:rsidR="002F2C1B" w:rsidRDefault="002F2C1B" w:rsidP="00414632">
      <w:pPr>
        <w:pStyle w:val="NormalWeb"/>
        <w:spacing w:before="0" w:beforeAutospacing="0" w:after="0" w:afterAutospacing="0" w:line="276" w:lineRule="auto"/>
        <w:jc w:val="both"/>
      </w:pPr>
      <w:r>
        <w:rPr>
          <w:rFonts w:ascii="Arial" w:hAnsi="Arial" w:cs="Arial"/>
          <w:color w:val="000000"/>
        </w:rPr>
        <w:t xml:space="preserve">Nakagawa, H., &amp; Li, S. (2022). Exchange Rates and foreign direct investment: evidence from Chinese firm-level data. Journal of the World Economy, 45(9), 2902-2923. </w:t>
      </w:r>
      <w:hyperlink r:id="rId17" w:history="1">
        <w:r>
          <w:rPr>
            <w:rStyle w:val="Hyperlink"/>
            <w:rFonts w:ascii="Arial" w:eastAsiaTheme="majorEastAsia" w:hAnsi="Arial" w:cs="Arial"/>
            <w:color w:val="1155CC"/>
          </w:rPr>
          <w:t>https://doi.org/10.1111/twec.13257</w:t>
        </w:r>
      </w:hyperlink>
    </w:p>
    <w:p w14:paraId="55A4AE8F" w14:textId="77777777" w:rsidR="002F2C1B" w:rsidRDefault="002F2C1B" w:rsidP="00414632">
      <w:pPr>
        <w:pStyle w:val="NormalWeb"/>
        <w:spacing w:before="0" w:beforeAutospacing="0" w:after="0" w:afterAutospacing="0" w:line="360" w:lineRule="auto"/>
        <w:jc w:val="both"/>
      </w:pPr>
    </w:p>
    <w:p w14:paraId="329DB80A" w14:textId="4F9EF7EE" w:rsidR="002F2C1B" w:rsidRDefault="002F2C1B" w:rsidP="00414632">
      <w:pPr>
        <w:pStyle w:val="NormalWeb"/>
        <w:spacing w:before="0" w:beforeAutospacing="0" w:after="0" w:afterAutospacing="0" w:line="276" w:lineRule="auto"/>
        <w:jc w:val="both"/>
      </w:pPr>
      <w:r>
        <w:rPr>
          <w:rFonts w:ascii="Arial" w:hAnsi="Arial" w:cs="Arial"/>
          <w:color w:val="000000"/>
        </w:rPr>
        <w:t xml:space="preserve">Balaban, S., Živkov, D., &amp; Milenković, I. (2019). Impact of an unexplained component of real exchange rate volatility on FDI: Evidence from transition countries. Journal of Economic Systems, 43(3-4). </w:t>
      </w:r>
      <w:hyperlink r:id="rId18" w:history="1">
        <w:r>
          <w:rPr>
            <w:rStyle w:val="Hyperlink"/>
            <w:rFonts w:ascii="Arial" w:eastAsiaTheme="majorEastAsia" w:hAnsi="Arial" w:cs="Arial"/>
            <w:color w:val="1155CC"/>
          </w:rPr>
          <w:t>https://doi.org/10.1016/j.ecosys.2019.100719</w:t>
        </w:r>
      </w:hyperlink>
    </w:p>
    <w:p w14:paraId="7B3FEA2B" w14:textId="77777777" w:rsidR="002F2C1B" w:rsidRDefault="002F2C1B" w:rsidP="00414632">
      <w:pPr>
        <w:pStyle w:val="NormalWeb"/>
        <w:spacing w:before="0" w:beforeAutospacing="0" w:after="0" w:afterAutospacing="0" w:line="360" w:lineRule="auto"/>
        <w:jc w:val="both"/>
      </w:pPr>
    </w:p>
    <w:p w14:paraId="66AAE9DD" w14:textId="77777777" w:rsidR="002F2C1B" w:rsidRDefault="002F2C1B" w:rsidP="00414632">
      <w:pPr>
        <w:pStyle w:val="NormalWeb"/>
        <w:spacing w:before="0" w:beforeAutospacing="0" w:after="0" w:afterAutospacing="0" w:line="360" w:lineRule="auto"/>
        <w:jc w:val="both"/>
      </w:pPr>
      <w:r>
        <w:rPr>
          <w:rFonts w:ascii="Arial" w:hAnsi="Arial" w:cs="Arial"/>
          <w:color w:val="000000"/>
        </w:rPr>
        <w:t xml:space="preserve">Fund for Peace. (2023). </w:t>
      </w:r>
      <w:r>
        <w:rPr>
          <w:rFonts w:ascii="Arial" w:hAnsi="Arial" w:cs="Arial"/>
          <w:i/>
          <w:iCs/>
          <w:color w:val="000000"/>
        </w:rPr>
        <w:t>Fragile States Index 2023</w:t>
      </w:r>
      <w:r>
        <w:rPr>
          <w:rFonts w:ascii="Arial" w:hAnsi="Arial" w:cs="Arial"/>
          <w:color w:val="000000"/>
        </w:rPr>
        <w:t>.</w:t>
      </w:r>
      <w:hyperlink r:id="rId19" w:history="1">
        <w:r>
          <w:rPr>
            <w:rStyle w:val="Hyperlink"/>
            <w:rFonts w:ascii="Arial" w:eastAsiaTheme="majorEastAsia" w:hAnsi="Arial" w:cs="Arial"/>
            <w:color w:val="000000"/>
          </w:rPr>
          <w:t xml:space="preserve"> </w:t>
        </w:r>
        <w:r>
          <w:rPr>
            <w:rStyle w:val="Hyperlink"/>
            <w:rFonts w:ascii="Arial" w:eastAsiaTheme="majorEastAsia" w:hAnsi="Arial" w:cs="Arial"/>
            <w:color w:val="1155CC"/>
          </w:rPr>
          <w:t>https://fragilestatesindex.org/</w:t>
        </w:r>
      </w:hyperlink>
    </w:p>
    <w:p w14:paraId="5ED958A3" w14:textId="77777777" w:rsidR="002F2C1B" w:rsidRDefault="002F2C1B" w:rsidP="00414632">
      <w:pPr>
        <w:pStyle w:val="NormalWeb"/>
        <w:spacing w:before="0" w:beforeAutospacing="0" w:after="0" w:afterAutospacing="0" w:line="360" w:lineRule="auto"/>
        <w:jc w:val="both"/>
      </w:pPr>
    </w:p>
    <w:p w14:paraId="732C5377" w14:textId="15E9D29F" w:rsidR="002F2C1B" w:rsidRPr="002F2C1B" w:rsidRDefault="002F2C1B" w:rsidP="00414632">
      <w:pPr>
        <w:pStyle w:val="NormalWeb"/>
        <w:spacing w:before="0" w:beforeAutospacing="0" w:after="0" w:afterAutospacing="0" w:line="276" w:lineRule="auto"/>
        <w:jc w:val="both"/>
      </w:pPr>
      <w:r w:rsidRPr="002F2C1B">
        <w:rPr>
          <w:rFonts w:ascii="Arial" w:hAnsi="Arial" w:cs="Arial"/>
          <w:color w:val="000000"/>
          <w:lang w:val="sv-SE"/>
        </w:rPr>
        <w:t xml:space="preserve">Tan, L., Xu, Y., &amp; Gashaw, A. (2021). </w:t>
      </w:r>
      <w:r>
        <w:rPr>
          <w:rFonts w:ascii="Arial" w:hAnsi="Arial" w:cs="Arial"/>
          <w:color w:val="000000"/>
        </w:rPr>
        <w:t xml:space="preserve">Influence of Exchange Rate on Foreign Direct Investment Inflows: An Empirical Analysis Based on Co-Integration and Granger Causality Test. </w:t>
      </w:r>
      <w:r>
        <w:rPr>
          <w:rFonts w:ascii="Arial" w:hAnsi="Arial" w:cs="Arial"/>
          <w:i/>
          <w:iCs/>
          <w:color w:val="000000"/>
        </w:rPr>
        <w:t>Mathematical Problems in Engineering</w:t>
      </w:r>
      <w:r>
        <w:rPr>
          <w:rFonts w:ascii="Arial" w:hAnsi="Arial" w:cs="Arial"/>
          <w:color w:val="000000"/>
        </w:rPr>
        <w:t xml:space="preserve">, 2021. </w:t>
      </w:r>
      <w:hyperlink r:id="rId20" w:history="1">
        <w:r>
          <w:rPr>
            <w:rStyle w:val="Hyperlink"/>
            <w:rFonts w:ascii="Arial" w:eastAsiaTheme="majorEastAsia" w:hAnsi="Arial" w:cs="Arial"/>
            <w:color w:val="1155CC"/>
          </w:rPr>
          <w:t>https://doi.org/10.1155/2021/7280879</w:t>
        </w:r>
      </w:hyperlink>
    </w:p>
    <w:sectPr w:rsidR="002F2C1B" w:rsidRPr="002F2C1B" w:rsidSect="003366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BF95E3" w14:textId="77777777" w:rsidR="0033660C" w:rsidRDefault="0033660C" w:rsidP="00F76EC4">
      <w:pPr>
        <w:spacing w:after="0" w:line="240" w:lineRule="auto"/>
      </w:pPr>
      <w:r>
        <w:separator/>
      </w:r>
    </w:p>
  </w:endnote>
  <w:endnote w:type="continuationSeparator" w:id="0">
    <w:p w14:paraId="62A80C2D" w14:textId="77777777" w:rsidR="0033660C" w:rsidRDefault="0033660C" w:rsidP="00F76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5657408"/>
      <w:docPartObj>
        <w:docPartGallery w:val="Page Numbers (Bottom of Page)"/>
        <w:docPartUnique/>
      </w:docPartObj>
    </w:sdtPr>
    <w:sdtEndPr>
      <w:rPr>
        <w:noProof/>
      </w:rPr>
    </w:sdtEndPr>
    <w:sdtContent>
      <w:p w14:paraId="5C6C91AB" w14:textId="6710F2E7" w:rsidR="00F76EC4" w:rsidRDefault="00F76EC4">
        <w:pPr>
          <w:pStyle w:val="Footer"/>
          <w:jc w:val="center"/>
        </w:pPr>
        <w:r>
          <w:rPr>
            <w:noProof/>
          </w:rPr>
          <mc:AlternateContent>
            <mc:Choice Requires="wps">
              <w:drawing>
                <wp:inline distT="0" distB="0" distL="0" distR="0" wp14:anchorId="1F8D8E51" wp14:editId="667E138B">
                  <wp:extent cx="5467350" cy="54610"/>
                  <wp:effectExtent l="9525" t="19050" r="9525" b="12065"/>
                  <wp:docPr id="1032834114" name="Flowchart: Decision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232C7A34" id="_x0000_t110" coordsize="21600,21600" o:spt="110" path="m10800,l,10800,10800,21600,21600,10800xe">
                  <v:stroke joinstyle="miter"/>
                  <v:path gradientshapeok="t" o:connecttype="rect" textboxrect="5400,5400,16200,16200"/>
                </v:shapetype>
                <v:shape id="Flowchart: Decision 3"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4C1D2862" w14:textId="32B1B8F2" w:rsidR="00F76EC4" w:rsidRDefault="00F76EC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C3AE25" w14:textId="77777777" w:rsidR="00F76EC4" w:rsidRDefault="00F76E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DDC179" w14:textId="77777777" w:rsidR="0033660C" w:rsidRDefault="0033660C" w:rsidP="00F76EC4">
      <w:pPr>
        <w:spacing w:after="0" w:line="240" w:lineRule="auto"/>
      </w:pPr>
      <w:r>
        <w:separator/>
      </w:r>
    </w:p>
  </w:footnote>
  <w:footnote w:type="continuationSeparator" w:id="0">
    <w:p w14:paraId="21A4C5AF" w14:textId="77777777" w:rsidR="0033660C" w:rsidRDefault="0033660C" w:rsidP="00F76EC4">
      <w:pPr>
        <w:spacing w:after="0" w:line="240" w:lineRule="auto"/>
      </w:pPr>
      <w:r>
        <w:continuationSeparator/>
      </w:r>
    </w:p>
  </w:footnote>
  <w:footnote w:id="1">
    <w:p w14:paraId="2CC55456" w14:textId="45CBA515" w:rsidR="00982E89" w:rsidRPr="00982E89" w:rsidRDefault="00982E89">
      <w:pPr>
        <w:pStyle w:val="FootnoteText"/>
        <w:rPr>
          <w:sz w:val="24"/>
          <w:szCs w:val="24"/>
        </w:rPr>
      </w:pPr>
      <w:r w:rsidRPr="00982E89">
        <w:rPr>
          <w:rStyle w:val="FootnoteReference"/>
          <w:sz w:val="24"/>
          <w:szCs w:val="24"/>
        </w:rPr>
        <w:footnoteRef/>
      </w:r>
      <w:r w:rsidRPr="00982E89">
        <w:rPr>
          <w:sz w:val="24"/>
          <w:szCs w:val="24"/>
        </w:rPr>
        <w:t xml:space="preserve"> In the order in which they appear.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429"/>
    <w:rsid w:val="00077DC1"/>
    <w:rsid w:val="001946FD"/>
    <w:rsid w:val="00222D17"/>
    <w:rsid w:val="00223AF0"/>
    <w:rsid w:val="00242429"/>
    <w:rsid w:val="002A76BF"/>
    <w:rsid w:val="002E2E4F"/>
    <w:rsid w:val="002F2C1B"/>
    <w:rsid w:val="003261C6"/>
    <w:rsid w:val="0033660C"/>
    <w:rsid w:val="003F5133"/>
    <w:rsid w:val="003F6C50"/>
    <w:rsid w:val="00414632"/>
    <w:rsid w:val="006072B1"/>
    <w:rsid w:val="00787BD2"/>
    <w:rsid w:val="007949ED"/>
    <w:rsid w:val="00832956"/>
    <w:rsid w:val="00905DEF"/>
    <w:rsid w:val="00982E89"/>
    <w:rsid w:val="00B92696"/>
    <w:rsid w:val="00CE6EB2"/>
    <w:rsid w:val="00D70C08"/>
    <w:rsid w:val="00E57E94"/>
    <w:rsid w:val="00F76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7A929D"/>
  <w15:chartTrackingRefBased/>
  <w15:docId w15:val="{51B98087-E960-4A74-A603-18192B11D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24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24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24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24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24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24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24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24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24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4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24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24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24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24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24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24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24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2429"/>
    <w:rPr>
      <w:rFonts w:eastAsiaTheme="majorEastAsia" w:cstheme="majorBidi"/>
      <w:color w:val="272727" w:themeColor="text1" w:themeTint="D8"/>
    </w:rPr>
  </w:style>
  <w:style w:type="paragraph" w:styleId="Title">
    <w:name w:val="Title"/>
    <w:basedOn w:val="Normal"/>
    <w:next w:val="Normal"/>
    <w:link w:val="TitleChar"/>
    <w:uiPriority w:val="10"/>
    <w:qFormat/>
    <w:rsid w:val="002424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24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24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24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2429"/>
    <w:pPr>
      <w:spacing w:before="160"/>
      <w:jc w:val="center"/>
    </w:pPr>
    <w:rPr>
      <w:i/>
      <w:iCs/>
      <w:color w:val="404040" w:themeColor="text1" w:themeTint="BF"/>
    </w:rPr>
  </w:style>
  <w:style w:type="character" w:customStyle="1" w:styleId="QuoteChar">
    <w:name w:val="Quote Char"/>
    <w:basedOn w:val="DefaultParagraphFont"/>
    <w:link w:val="Quote"/>
    <w:uiPriority w:val="29"/>
    <w:rsid w:val="00242429"/>
    <w:rPr>
      <w:i/>
      <w:iCs/>
      <w:color w:val="404040" w:themeColor="text1" w:themeTint="BF"/>
    </w:rPr>
  </w:style>
  <w:style w:type="paragraph" w:styleId="ListParagraph">
    <w:name w:val="List Paragraph"/>
    <w:basedOn w:val="Normal"/>
    <w:uiPriority w:val="34"/>
    <w:qFormat/>
    <w:rsid w:val="00242429"/>
    <w:pPr>
      <w:ind w:left="720"/>
      <w:contextualSpacing/>
    </w:pPr>
  </w:style>
  <w:style w:type="character" w:styleId="IntenseEmphasis">
    <w:name w:val="Intense Emphasis"/>
    <w:basedOn w:val="DefaultParagraphFont"/>
    <w:uiPriority w:val="21"/>
    <w:qFormat/>
    <w:rsid w:val="00242429"/>
    <w:rPr>
      <w:i/>
      <w:iCs/>
      <w:color w:val="0F4761" w:themeColor="accent1" w:themeShade="BF"/>
    </w:rPr>
  </w:style>
  <w:style w:type="paragraph" w:styleId="IntenseQuote">
    <w:name w:val="Intense Quote"/>
    <w:basedOn w:val="Normal"/>
    <w:next w:val="Normal"/>
    <w:link w:val="IntenseQuoteChar"/>
    <w:uiPriority w:val="30"/>
    <w:qFormat/>
    <w:rsid w:val="002424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2429"/>
    <w:rPr>
      <w:i/>
      <w:iCs/>
      <w:color w:val="0F4761" w:themeColor="accent1" w:themeShade="BF"/>
    </w:rPr>
  </w:style>
  <w:style w:type="character" w:styleId="IntenseReference">
    <w:name w:val="Intense Reference"/>
    <w:basedOn w:val="DefaultParagraphFont"/>
    <w:uiPriority w:val="32"/>
    <w:qFormat/>
    <w:rsid w:val="00242429"/>
    <w:rPr>
      <w:b/>
      <w:bCs/>
      <w:smallCaps/>
      <w:color w:val="0F4761" w:themeColor="accent1" w:themeShade="BF"/>
      <w:spacing w:val="5"/>
    </w:rPr>
  </w:style>
  <w:style w:type="table" w:styleId="MediumList2-Accent1">
    <w:name w:val="Medium List 2 Accent 1"/>
    <w:basedOn w:val="TableNormal"/>
    <w:uiPriority w:val="66"/>
    <w:rsid w:val="00242429"/>
    <w:pPr>
      <w:spacing w:after="0" w:line="240" w:lineRule="auto"/>
    </w:pPr>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rPr>
        <w:sz w:val="24"/>
        <w:szCs w:val="24"/>
      </w:rPr>
      <w:tblPr/>
      <w:tcPr>
        <w:tcBorders>
          <w:top w:val="nil"/>
          <w:left w:val="nil"/>
          <w:bottom w:val="single" w:sz="24" w:space="0" w:color="156082" w:themeColor="accent1"/>
          <w:right w:val="nil"/>
          <w:insideH w:val="nil"/>
          <w:insideV w:val="nil"/>
        </w:tcBorders>
        <w:shd w:val="clear" w:color="auto" w:fill="FFFFFF" w:themeFill="background1"/>
      </w:tcPr>
    </w:tblStylePr>
    <w:tblStylePr w:type="lastRow">
      <w:tblPr/>
      <w:tcPr>
        <w:tcBorders>
          <w:top w:val="single" w:sz="8" w:space="0" w:color="156082"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56082" w:themeColor="accent1"/>
          <w:insideH w:val="nil"/>
          <w:insideV w:val="nil"/>
        </w:tcBorders>
        <w:shd w:val="clear" w:color="auto" w:fill="FFFFFF" w:themeFill="background1"/>
      </w:tcPr>
    </w:tblStylePr>
    <w:tblStylePr w:type="lastCol">
      <w:tblPr/>
      <w:tcPr>
        <w:tcBorders>
          <w:top w:val="nil"/>
          <w:left w:val="single" w:sz="8" w:space="0" w:color="15608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top w:val="nil"/>
          <w:bottom w:val="nil"/>
          <w:insideH w:val="nil"/>
          <w:insideV w:val="nil"/>
        </w:tcBorders>
        <w:shd w:val="clear" w:color="auto" w:fill="B2DEF2"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unhideWhenUsed/>
    <w:rsid w:val="0024242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242429"/>
  </w:style>
  <w:style w:type="paragraph" w:customStyle="1" w:styleId="DecimalAligned">
    <w:name w:val="Decimal Aligned"/>
    <w:basedOn w:val="Normal"/>
    <w:uiPriority w:val="40"/>
    <w:qFormat/>
    <w:rsid w:val="00242429"/>
    <w:pPr>
      <w:tabs>
        <w:tab w:val="decimal" w:pos="360"/>
      </w:tabs>
      <w:spacing w:after="200" w:line="276" w:lineRule="auto"/>
    </w:pPr>
    <w:rPr>
      <w:rFonts w:eastAsiaTheme="minorEastAsia" w:cs="Times New Roman"/>
      <w:kern w:val="0"/>
      <w:sz w:val="22"/>
      <w:szCs w:val="22"/>
      <w14:ligatures w14:val="none"/>
    </w:rPr>
  </w:style>
  <w:style w:type="paragraph" w:styleId="FootnoteText">
    <w:name w:val="footnote text"/>
    <w:basedOn w:val="Normal"/>
    <w:link w:val="FootnoteTextChar"/>
    <w:uiPriority w:val="99"/>
    <w:unhideWhenUsed/>
    <w:rsid w:val="00242429"/>
    <w:pPr>
      <w:spacing w:after="0" w:line="240" w:lineRule="auto"/>
    </w:pPr>
    <w:rPr>
      <w:rFonts w:eastAsiaTheme="minorEastAsia" w:cs="Times New Roman"/>
      <w:kern w:val="0"/>
      <w:sz w:val="20"/>
      <w:szCs w:val="20"/>
      <w14:ligatures w14:val="none"/>
    </w:rPr>
  </w:style>
  <w:style w:type="character" w:customStyle="1" w:styleId="FootnoteTextChar">
    <w:name w:val="Footnote Text Char"/>
    <w:basedOn w:val="DefaultParagraphFont"/>
    <w:link w:val="FootnoteText"/>
    <w:uiPriority w:val="99"/>
    <w:rsid w:val="00242429"/>
    <w:rPr>
      <w:rFonts w:eastAsiaTheme="minorEastAsia" w:cs="Times New Roman"/>
      <w:kern w:val="0"/>
      <w:sz w:val="20"/>
      <w:szCs w:val="20"/>
      <w14:ligatures w14:val="none"/>
    </w:rPr>
  </w:style>
  <w:style w:type="character" w:styleId="SubtleEmphasis">
    <w:name w:val="Subtle Emphasis"/>
    <w:basedOn w:val="DefaultParagraphFont"/>
    <w:uiPriority w:val="19"/>
    <w:qFormat/>
    <w:rsid w:val="00242429"/>
    <w:rPr>
      <w:i/>
      <w:iCs/>
    </w:rPr>
  </w:style>
  <w:style w:type="table" w:styleId="LightShading-Accent1">
    <w:name w:val="Light Shading Accent 1"/>
    <w:basedOn w:val="TableNormal"/>
    <w:uiPriority w:val="60"/>
    <w:rsid w:val="00242429"/>
    <w:pPr>
      <w:spacing w:after="0" w:line="240" w:lineRule="auto"/>
    </w:pPr>
    <w:rPr>
      <w:rFonts w:eastAsiaTheme="minorEastAsia"/>
      <w:color w:val="0F4761" w:themeColor="accent1" w:themeShade="BF"/>
      <w:kern w:val="0"/>
      <w:sz w:val="22"/>
      <w:szCs w:val="22"/>
      <w14:ligatures w14:val="none"/>
    </w:rPr>
    <w:tblPr>
      <w:tblStyleRowBandSize w:val="1"/>
      <w:tblStyleColBandSize w:val="1"/>
      <w:tblBorders>
        <w:top w:val="single" w:sz="8" w:space="0" w:color="156082" w:themeColor="accent1"/>
        <w:bottom w:val="single" w:sz="8" w:space="0" w:color="156082" w:themeColor="accent1"/>
      </w:tblBorders>
    </w:tblPr>
    <w:tblStylePr w:type="fir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 w:type="paragraph" w:styleId="Header">
    <w:name w:val="header"/>
    <w:basedOn w:val="Normal"/>
    <w:link w:val="HeaderChar"/>
    <w:uiPriority w:val="99"/>
    <w:unhideWhenUsed/>
    <w:rsid w:val="00F76E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EC4"/>
  </w:style>
  <w:style w:type="paragraph" w:styleId="Footer">
    <w:name w:val="footer"/>
    <w:basedOn w:val="Normal"/>
    <w:link w:val="FooterChar"/>
    <w:uiPriority w:val="99"/>
    <w:unhideWhenUsed/>
    <w:rsid w:val="00F76E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EC4"/>
  </w:style>
  <w:style w:type="character" w:styleId="Hyperlink">
    <w:name w:val="Hyperlink"/>
    <w:basedOn w:val="DefaultParagraphFont"/>
    <w:uiPriority w:val="99"/>
    <w:semiHidden/>
    <w:unhideWhenUsed/>
    <w:rsid w:val="002F2C1B"/>
    <w:rPr>
      <w:color w:val="0000FF"/>
      <w:u w:val="single"/>
    </w:rPr>
  </w:style>
  <w:style w:type="character" w:styleId="FootnoteReference">
    <w:name w:val="footnote reference"/>
    <w:basedOn w:val="DefaultParagraphFont"/>
    <w:uiPriority w:val="99"/>
    <w:semiHidden/>
    <w:unhideWhenUsed/>
    <w:rsid w:val="00982E89"/>
    <w:rPr>
      <w:vertAlign w:val="superscript"/>
    </w:rPr>
  </w:style>
  <w:style w:type="character" w:styleId="FollowedHyperlink">
    <w:name w:val="FollowedHyperlink"/>
    <w:basedOn w:val="DefaultParagraphFont"/>
    <w:uiPriority w:val="99"/>
    <w:semiHidden/>
    <w:unhideWhenUsed/>
    <w:rsid w:val="007949E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2322137">
      <w:bodyDiv w:val="1"/>
      <w:marLeft w:val="0"/>
      <w:marRight w:val="0"/>
      <w:marTop w:val="0"/>
      <w:marBottom w:val="0"/>
      <w:divBdr>
        <w:top w:val="none" w:sz="0" w:space="0" w:color="auto"/>
        <w:left w:val="none" w:sz="0" w:space="0" w:color="auto"/>
        <w:bottom w:val="none" w:sz="0" w:space="0" w:color="auto"/>
        <w:right w:val="none" w:sz="0" w:space="0" w:color="auto"/>
      </w:divBdr>
    </w:div>
    <w:div w:id="1523855717">
      <w:bodyDiv w:val="1"/>
      <w:marLeft w:val="0"/>
      <w:marRight w:val="0"/>
      <w:marTop w:val="0"/>
      <w:marBottom w:val="0"/>
      <w:divBdr>
        <w:top w:val="none" w:sz="0" w:space="0" w:color="auto"/>
        <w:left w:val="none" w:sz="0" w:space="0" w:color="auto"/>
        <w:bottom w:val="none" w:sz="0" w:space="0" w:color="auto"/>
        <w:right w:val="none" w:sz="0" w:space="0" w:color="auto"/>
      </w:divBdr>
    </w:div>
    <w:div w:id="2008705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111/twec.13064" TargetMode="External"/><Relationship Id="rId18" Type="http://schemas.openxmlformats.org/officeDocument/2006/relationships/hyperlink" Target="https://doi.org/10.1016/j.ecosys.2019.100719"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hyperlink" Target="https://doi.org/10.1016/j.jinteco.2022.103607" TargetMode="External"/><Relationship Id="rId17" Type="http://schemas.openxmlformats.org/officeDocument/2006/relationships/hyperlink" Target="https://doi.org/10.1111/twec.13257" TargetMode="External"/><Relationship Id="rId2" Type="http://schemas.openxmlformats.org/officeDocument/2006/relationships/styles" Target="styles.xml"/><Relationship Id="rId16" Type="http://schemas.openxmlformats.org/officeDocument/2006/relationships/hyperlink" Target="https://doi.org/10.3390/jrfm17020088" TargetMode="External"/><Relationship Id="rId20" Type="http://schemas.openxmlformats.org/officeDocument/2006/relationships/hyperlink" Target="https://doi.org/10.1155/2021/7280879"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aef.redfame.com" TargetMode="External"/><Relationship Id="rId10" Type="http://schemas.openxmlformats.org/officeDocument/2006/relationships/image" Target="media/image3.png"/><Relationship Id="rId19" Type="http://schemas.openxmlformats.org/officeDocument/2006/relationships/hyperlink" Target="https://fragilestatesindex.or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hdl.handle.net/10986/2991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2D8E8-76F6-4C4A-BC9C-67D3C2876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17</Pages>
  <Words>2804</Words>
  <Characters>15983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Horine</dc:creator>
  <cp:keywords/>
  <dc:description/>
  <cp:lastModifiedBy>Cameron Horine</cp:lastModifiedBy>
  <cp:revision>5</cp:revision>
  <cp:lastPrinted>2024-04-02T14:10:00Z</cp:lastPrinted>
  <dcterms:created xsi:type="dcterms:W3CDTF">2024-04-02T13:32:00Z</dcterms:created>
  <dcterms:modified xsi:type="dcterms:W3CDTF">2024-04-02T14:11:00Z</dcterms:modified>
</cp:coreProperties>
</file>