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40"/>
        </w:rPr>
        <w:t>Business Case</w:t>
      </w:r>
    </w:p>
    <w:p>
      <w:pPr>
        <w:spacing w:after="40"/>
        <w:jc w:val="center"/>
      </w:pPr>
      <w:r>
        <w:rPr>
          <w:rFonts w:ascii="Calibri" w:hAnsi="Calibri"/>
          <w:b w:val="0"/>
          <w:color w:val="595959"/>
          <w:sz w:val="28"/>
        </w:rPr>
        <w:t>MeetOPS — Shift Plan Module</w:t>
      </w:r>
    </w:p>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D6E4F0"/>
            <w:vAlign w:val="center"/>
          </w:tcPr>
          <w:p>
            <w:pPr>
              <w:jc w:val="left"/>
            </w:pPr>
            <w:r/>
            <w:r>
              <w:rPr>
                <w:rFonts w:ascii="Calibri" w:hAnsi="Calibri"/>
                <w:b/>
                <w:sz w:val="20"/>
              </w:rPr>
              <w:t>Project Name</w:t>
            </w:r>
          </w:p>
        </w:tc>
        <w:tc>
          <w:tcPr>
            <w:tcW w:type="dxa" w:w="6480"/>
            <w:vAlign w:val="center"/>
          </w:tcPr>
          <w:p>
            <w:pPr>
              <w:jc w:val="left"/>
            </w:pPr>
            <w:r/>
            <w:r>
              <w:rPr>
                <w:rFonts w:ascii="Calibri" w:hAnsi="Calibri"/>
                <w:b w:val="0"/>
                <w:sz w:val="20"/>
              </w:rPr>
              <w:t>MeetOPS Shift Plan Module</w:t>
            </w:r>
          </w:p>
        </w:tc>
      </w:tr>
      <w:tr>
        <w:tc>
          <w:tcPr>
            <w:tcW w:type="dxa" w:w="2880"/>
            <w:shd w:val="clear" w:color="auto" w:fill="D6E4F0"/>
            <w:vAlign w:val="center"/>
          </w:tcPr>
          <w:p>
            <w:pPr>
              <w:jc w:val="left"/>
            </w:pPr>
            <w:r/>
            <w:r>
              <w:rPr>
                <w:rFonts w:ascii="Calibri" w:hAnsi="Calibri"/>
                <w:b/>
                <w:sz w:val="20"/>
              </w:rPr>
              <w:t>Prepared By</w:t>
            </w:r>
          </w:p>
        </w:tc>
        <w:tc>
          <w:tcPr>
            <w:tcW w:type="dxa" w:w="6480"/>
            <w:vAlign w:val="center"/>
          </w:tcPr>
          <w:p>
            <w:pPr>
              <w:jc w:val="left"/>
            </w:pPr>
            <w:r/>
            <w:r>
              <w:rPr>
                <w:rFonts w:ascii="Calibri" w:hAnsi="Calibri"/>
                <w:b w:val="0"/>
                <w:sz w:val="20"/>
              </w:rPr>
              <w:t>Operations Management — Nellis Auction, Mesa</w:t>
            </w:r>
          </w:p>
        </w:tc>
      </w:tr>
      <w:tr>
        <w:tc>
          <w:tcPr>
            <w:tcW w:type="dxa" w:w="2880"/>
            <w:shd w:val="clear" w:color="auto" w:fill="D6E4F0"/>
            <w:vAlign w:val="center"/>
          </w:tcPr>
          <w:p>
            <w:pPr>
              <w:jc w:val="left"/>
            </w:pPr>
            <w:r/>
            <w:r>
              <w:rPr>
                <w:rFonts w:ascii="Calibri" w:hAnsi="Calibri"/>
                <w:b/>
                <w:sz w:val="20"/>
              </w:rPr>
              <w:t>Date Prepared</w:t>
            </w:r>
          </w:p>
        </w:tc>
        <w:tc>
          <w:tcPr>
            <w:tcW w:type="dxa" w:w="6480"/>
            <w:vAlign w:val="center"/>
          </w:tcPr>
          <w:p>
            <w:pPr>
              <w:jc w:val="left"/>
            </w:pPr>
            <w:r/>
            <w:r>
              <w:rPr>
                <w:rFonts w:ascii="Calibri" w:hAnsi="Calibri"/>
                <w:b w:val="0"/>
                <w:sz w:val="20"/>
              </w:rPr>
              <w:t>May 27, 2026</w:t>
            </w:r>
          </w:p>
        </w:tc>
      </w:tr>
      <w:tr>
        <w:tc>
          <w:tcPr>
            <w:tcW w:type="dxa" w:w="2880"/>
            <w:shd w:val="clear" w:color="auto" w:fill="D6E4F0"/>
            <w:vAlign w:val="center"/>
          </w:tcPr>
          <w:p>
            <w:pPr>
              <w:jc w:val="left"/>
            </w:pPr>
            <w:r/>
            <w:r>
              <w:rPr>
                <w:rFonts w:ascii="Calibri" w:hAnsi="Calibri"/>
                <w:b/>
                <w:sz w:val="20"/>
              </w:rPr>
              <w:t>Version</w:t>
            </w:r>
          </w:p>
        </w:tc>
        <w:tc>
          <w:tcPr>
            <w:tcW w:type="dxa" w:w="6480"/>
            <w:vAlign w:val="center"/>
          </w:tcPr>
          <w:p>
            <w:pPr>
              <w:jc w:val="left"/>
            </w:pPr>
            <w:r/>
            <w:r>
              <w:rPr>
                <w:rFonts w:ascii="Calibri" w:hAnsi="Calibri"/>
                <w:b w:val="0"/>
                <w:sz w:val="20"/>
              </w:rPr>
              <w:t>1.0</w:t>
            </w:r>
          </w:p>
        </w:tc>
      </w:tr>
      <w:tr>
        <w:tc>
          <w:tcPr>
            <w:tcW w:type="dxa" w:w="2880"/>
            <w:shd w:val="clear" w:color="auto" w:fill="D6E4F0"/>
            <w:vAlign w:val="center"/>
          </w:tcPr>
          <w:p>
            <w:pPr>
              <w:jc w:val="left"/>
            </w:pPr>
            <w:r/>
            <w:r>
              <w:rPr>
                <w:rFonts w:ascii="Calibri" w:hAnsi="Calibri"/>
                <w:b/>
                <w:sz w:val="20"/>
              </w:rPr>
              <w:t>Classification</w:t>
            </w:r>
          </w:p>
        </w:tc>
        <w:tc>
          <w:tcPr>
            <w:tcW w:type="dxa" w:w="6480"/>
            <w:vAlign w:val="center"/>
          </w:tcPr>
          <w:p>
            <w:pPr>
              <w:jc w:val="left"/>
            </w:pPr>
            <w:r/>
            <w:r>
              <w:rPr>
                <w:rFonts w:ascii="Calibri" w:hAnsi="Calibri"/>
                <w:b w:val="0"/>
                <w:sz w:val="20"/>
              </w:rPr>
              <w:t>Internal — Operations</w:t>
            </w:r>
          </w:p>
        </w:tc>
      </w:tr>
      <w:tr>
        <w:tc>
          <w:tcPr>
            <w:tcW w:type="dxa" w:w="2880"/>
            <w:shd w:val="clear" w:color="auto" w:fill="D6E4F0"/>
            <w:vAlign w:val="center"/>
          </w:tcPr>
          <w:p>
            <w:pPr>
              <w:jc w:val="left"/>
            </w:pPr>
            <w:r/>
            <w:r>
              <w:rPr>
                <w:rFonts w:ascii="Calibri" w:hAnsi="Calibri"/>
                <w:b/>
                <w:sz w:val="20"/>
              </w:rPr>
              <w:t>CompTIA Standard</w:t>
            </w:r>
          </w:p>
        </w:tc>
        <w:tc>
          <w:tcPr>
            <w:tcW w:type="dxa" w:w="6480"/>
            <w:vAlign w:val="center"/>
          </w:tcPr>
          <w:p>
            <w:pPr>
              <w:jc w:val="left"/>
            </w:pPr>
            <w:r/>
            <w:r>
              <w:rPr>
                <w:rFonts w:ascii="Calibri" w:hAnsi="Calibri"/>
                <w:b w:val="0"/>
                <w:sz w:val="20"/>
              </w:rPr>
              <w:t>Project+ PK0-005</w:t>
            </w:r>
          </w:p>
        </w:tc>
      </w:tr>
    </w:tbl>
    <w:p/>
    <w:p>
      <w:pPr>
        <w:spacing w:before="280" w:after="80"/>
      </w:pPr>
      <w:r>
        <w:rPr>
          <w:rFonts w:ascii="Calibri" w:hAnsi="Calibri"/>
          <w:b/>
          <w:color w:val="1F497D"/>
          <w:sz w:val="28"/>
        </w:rPr>
        <w:t>1. Executive Summary</w:t>
      </w:r>
    </w:p>
    <w:p>
      <w:pPr>
        <w:spacing w:before="40" w:after="80"/>
      </w:pPr>
      <w:r>
        <w:rPr>
          <w:rFonts w:ascii="Calibri" w:hAnsi="Calibri"/>
          <w:b w:val="0"/>
          <w:sz w:val="22"/>
        </w:rPr>
        <w:t>This document presents the business case for the Shift Plan module within MeetOPS, an operations management web suite deployed at the Nellis Auction Mesa, AZ warehouse facility. The Shift Plan module addresses a critical gap in real-time labor visibility and daily workforce allocation decision-making. This business case follows CompTIA Project+ (PK0-005) standards, outlining the identified problem, the proposed solution, and the expected results upon successful implementation.</w:t>
      </w:r>
    </w:p>
    <w:p>
      <w:pPr>
        <w:spacing w:before="280" w:after="80"/>
      </w:pPr>
      <w:r>
        <w:rPr>
          <w:rFonts w:ascii="Calibri" w:hAnsi="Calibri"/>
          <w:b/>
          <w:color w:val="1F497D"/>
          <w:sz w:val="28"/>
        </w:rPr>
        <w:t>2. Problem Statement</w:t>
      </w:r>
    </w:p>
    <w:p>
      <w:pPr>
        <w:spacing w:before="280" w:after="80"/>
      </w:pPr>
      <w:r>
        <w:rPr>
          <w:rFonts w:ascii="Calibri" w:hAnsi="Calibri"/>
          <w:b/>
          <w:color w:val="000000"/>
          <w:sz w:val="24"/>
        </w:rPr>
        <w:t>2.1  Background</w:t>
      </w:r>
    </w:p>
    <w:p>
      <w:pPr>
        <w:spacing w:before="40" w:after="80"/>
      </w:pPr>
      <w:r>
        <w:rPr>
          <w:rFonts w:ascii="Calibri" w:hAnsi="Calibri"/>
          <w:b w:val="0"/>
          <w:sz w:val="22"/>
        </w:rPr>
        <w:t>The Nellis Auction Mesa facility processes high volumes of returned merchandise through a multi-department workflow involving Picking, Processing, Returns, Put Away, Load Out, Customer Service, and Material Handling. Daily staffing levels fluctuate due to callouts, overtime assignments, and inbound appointment volume, requiring Operations Managers to make rapid, real-time labor allocation decisions throughout each shift.</w:t>
      </w:r>
    </w:p>
    <w:p>
      <w:pPr>
        <w:spacing w:before="280" w:after="80"/>
      </w:pPr>
      <w:r>
        <w:rPr>
          <w:rFonts w:ascii="Calibri" w:hAnsi="Calibri"/>
          <w:b/>
          <w:color w:val="000000"/>
          <w:sz w:val="24"/>
        </w:rPr>
        <w:t>2.2  Current State — Pain Points</w:t>
      </w:r>
    </w:p>
    <w:p>
      <w:pPr>
        <w:spacing w:before="40" w:after="80"/>
      </w:pPr>
      <w:r>
        <w:rPr>
          <w:rFonts w:ascii="Calibri" w:hAnsi="Calibri"/>
          <w:b w:val="0"/>
          <w:sz w:val="22"/>
        </w:rPr>
        <w:t>Operations Managers currently experience the following operational deficiencies:</w:t>
      </w:r>
    </w:p>
    <w:p>
      <w:pPr>
        <w:pStyle w:val="ListBullet"/>
        <w:spacing w:before="20" w:after="20"/>
        <w:ind w:left="432"/>
      </w:pPr>
      <w:r>
        <w:rPr>
          <w:rFonts w:ascii="Calibri" w:hAnsi="Calibri"/>
          <w:b w:val="0"/>
          <w:sz w:val="22"/>
        </w:rPr>
        <w:t>No centralized, real-time view of headcount by department. Managers rely on verbal check-ins, whiteboards, or disconnected spreadsheets to track who is present, absent, or on overtime.</w:t>
      </w:r>
    </w:p>
    <w:p>
      <w:pPr>
        <w:pStyle w:val="ListBullet"/>
        <w:spacing w:before="20" w:after="20"/>
        <w:ind w:left="432"/>
      </w:pPr>
      <w:r>
        <w:rPr>
          <w:rFonts w:ascii="Calibri" w:hAnsi="Calibri"/>
          <w:b w:val="0"/>
          <w:sz w:val="22"/>
        </w:rPr>
        <w:t>Callouts and OT additions are tracked manually, creating a lag between reality on the floor and the manager's mental model of available labor.</w:t>
      </w:r>
    </w:p>
    <w:p>
      <w:pPr>
        <w:pStyle w:val="ListBullet"/>
        <w:spacing w:before="20" w:after="20"/>
        <w:ind w:left="432"/>
      </w:pPr>
      <w:r>
        <w:rPr>
          <w:rFonts w:ascii="Calibri" w:hAnsi="Calibri"/>
          <w:b w:val="0"/>
          <w:sz w:val="22"/>
        </w:rPr>
        <w:t>Labor flex decisions — moving workers from overstaffed departments to understaffed ones — are made reactively and without data, leading to suboptimal throughput.</w:t>
      </w:r>
    </w:p>
    <w:p>
      <w:pPr>
        <w:pStyle w:val="ListBullet"/>
        <w:spacing w:before="20" w:after="20"/>
        <w:ind w:left="432"/>
      </w:pPr>
      <w:r>
        <w:rPr>
          <w:rFonts w:ascii="Calibri" w:hAnsi="Calibri"/>
          <w:b w:val="0"/>
          <w:sz w:val="22"/>
        </w:rPr>
        <w:t>Designated role assignments (auditors, trainers, restricted duty) are inconsistently documented, causing overestimation of production capacity when planning department output.</w:t>
      </w:r>
    </w:p>
    <w:p>
      <w:pPr>
        <w:pStyle w:val="ListBullet"/>
        <w:spacing w:before="20" w:after="20"/>
        <w:ind w:left="432"/>
      </w:pPr>
      <w:r>
        <w:rPr>
          <w:rFonts w:ascii="Calibri" w:hAnsi="Calibri"/>
          <w:b w:val="0"/>
          <w:sz w:val="22"/>
        </w:rPr>
        <w:t>There is no mechanism for prorating headcount against shift start/end times, meaning a department scheduled at 5:30 AM is treated the same as one starting at 8:00 AM during early-morning planning windows.</w:t>
      </w:r>
    </w:p>
    <w:p>
      <w:pPr>
        <w:pStyle w:val="ListBullet"/>
        <w:spacing w:before="20" w:after="20"/>
        <w:ind w:left="432"/>
      </w:pPr>
      <w:r>
        <w:rPr>
          <w:rFonts w:ascii="Calibri" w:hAnsi="Calibri"/>
          <w:b w:val="0"/>
          <w:sz w:val="22"/>
        </w:rPr>
        <w:t>End-of-quarter labor surplus is not systematically identified, so Voluntary Time Off (VTO) opportunities are missed or offered too late to be accepted.</w:t>
      </w:r>
    </w:p>
    <w:p>
      <w:pPr>
        <w:pStyle w:val="ListBullet"/>
        <w:spacing w:before="20" w:after="20"/>
        <w:ind w:left="432"/>
      </w:pPr>
      <w:r>
        <w:rPr>
          <w:rFonts w:ascii="Calibri" w:hAnsi="Calibri"/>
          <w:b w:val="0"/>
          <w:sz w:val="22"/>
        </w:rPr>
        <w:t>Published shift plans cannot be locked, allowing post-publication edits that create accountability gaps when reviewing actual vs. planned performance.</w:t>
      </w:r>
    </w:p>
    <w:p>
      <w:pPr>
        <w:spacing w:before="280" w:after="80"/>
      </w:pPr>
      <w:r>
        <w:rPr>
          <w:rFonts w:ascii="Calibri" w:hAnsi="Calibri"/>
          <w:b/>
          <w:color w:val="000000"/>
          <w:sz w:val="24"/>
        </w:rPr>
        <w:t>2.3  Business Impact</w:t>
      </w:r>
    </w:p>
    <w:p>
      <w:pPr>
        <w:spacing w:before="40" w:after="80"/>
      </w:pPr>
      <w:r>
        <w:rPr>
          <w:rFonts w:ascii="Calibri" w:hAnsi="Calibri"/>
          <w:b w:val="0"/>
          <w:sz w:val="22"/>
        </w:rPr>
        <w:t>These deficiencies result in measurable negative outcomes:</w:t>
      </w:r>
    </w:p>
    <w:tbl>
      <w:tblPr>
        <w:tblStyle w:val="TableGrid"/>
        <w:tblW w:type="auto" w:w="0"/>
        <w:jc w:val="left"/>
        <w:tblLook w:firstColumn="1" w:firstRow="1" w:lastColumn="0" w:lastRow="0" w:noHBand="0" w:noVBand="1" w:val="04A0"/>
      </w:tblPr>
      <w:tblGrid>
        <w:gridCol w:w="4320"/>
        <w:gridCol w:w="4320"/>
      </w:tblGrid>
      <w:tr>
        <w:tc>
          <w:tcPr>
            <w:tcW w:type="dxa" w:w="3600"/>
            <w:shd w:val="clear" w:color="auto" w:fill="1F497D"/>
            <w:vAlign w:val="center"/>
          </w:tcPr>
          <w:p>
            <w:pPr>
              <w:jc w:val="center"/>
            </w:pPr>
            <w:r/>
            <w:r>
              <w:rPr>
                <w:rFonts w:ascii="Calibri" w:hAnsi="Calibri"/>
                <w:b/>
                <w:color w:val="FFFFFF"/>
                <w:sz w:val="20"/>
              </w:rPr>
              <w:t>Impact Area</w:t>
            </w:r>
          </w:p>
        </w:tc>
        <w:tc>
          <w:tcPr>
            <w:tcW w:type="dxa" w:w="5760"/>
            <w:shd w:val="clear" w:color="auto" w:fill="1F497D"/>
            <w:vAlign w:val="center"/>
          </w:tcPr>
          <w:p>
            <w:pPr>
              <w:jc w:val="center"/>
            </w:pPr>
            <w:r/>
            <w:r>
              <w:rPr>
                <w:rFonts w:ascii="Calibri" w:hAnsi="Calibri"/>
                <w:b/>
                <w:color w:val="FFFFFF"/>
                <w:sz w:val="20"/>
              </w:rPr>
              <w:t>Description</w:t>
            </w:r>
          </w:p>
        </w:tc>
      </w:tr>
      <w:tr>
        <w:tc>
          <w:tcPr>
            <w:tcW w:type="dxa" w:w="3600"/>
            <w:shd w:val="clear" w:color="auto" w:fill="EBF3FB"/>
            <w:vAlign w:val="center"/>
          </w:tcPr>
          <w:p>
            <w:pPr>
              <w:jc w:val="left"/>
            </w:pPr>
            <w:r/>
            <w:r>
              <w:rPr>
                <w:rFonts w:ascii="Calibri" w:hAnsi="Calibri"/>
                <w:b/>
                <w:sz w:val="20"/>
              </w:rPr>
              <w:t>Labor Inefficiency</w:t>
            </w:r>
          </w:p>
        </w:tc>
        <w:tc>
          <w:tcPr>
            <w:tcW w:type="dxa" w:w="5760"/>
            <w:vAlign w:val="center"/>
          </w:tcPr>
          <w:p>
            <w:pPr>
              <w:jc w:val="left"/>
            </w:pPr>
            <w:r/>
            <w:r>
              <w:rPr>
                <w:rFonts w:ascii="Calibri" w:hAnsi="Calibri"/>
                <w:b w:val="0"/>
                <w:sz w:val="20"/>
              </w:rPr>
              <w:t>Workers idle in overstaffed departments while understaffed departments fall behind appointment demand.</w:t>
            </w:r>
          </w:p>
        </w:tc>
      </w:tr>
      <w:tr>
        <w:tc>
          <w:tcPr>
            <w:tcW w:type="dxa" w:w="3600"/>
            <w:shd w:val="clear" w:color="auto" w:fill="EBF3FB"/>
            <w:vAlign w:val="center"/>
          </w:tcPr>
          <w:p>
            <w:pPr>
              <w:jc w:val="left"/>
            </w:pPr>
            <w:r/>
            <w:r>
              <w:rPr>
                <w:rFonts w:ascii="Calibri" w:hAnsi="Calibri"/>
                <w:b/>
                <w:sz w:val="20"/>
              </w:rPr>
              <w:t>Throughput Risk</w:t>
            </w:r>
          </w:p>
        </w:tc>
        <w:tc>
          <w:tcPr>
            <w:tcW w:type="dxa" w:w="5760"/>
            <w:vAlign w:val="center"/>
          </w:tcPr>
          <w:p>
            <w:pPr>
              <w:jc w:val="left"/>
            </w:pPr>
            <w:r/>
            <w:r>
              <w:rPr>
                <w:rFonts w:ascii="Calibri" w:hAnsi="Calibri"/>
                <w:b w:val="0"/>
                <w:sz w:val="20"/>
              </w:rPr>
              <w:t>Without inbound appointment-aligned staffing, processing capacity is under-deployed during peak intake hours.</w:t>
            </w:r>
          </w:p>
        </w:tc>
      </w:tr>
      <w:tr>
        <w:tc>
          <w:tcPr>
            <w:tcW w:type="dxa" w:w="3600"/>
            <w:shd w:val="clear" w:color="auto" w:fill="EBF3FB"/>
            <w:vAlign w:val="center"/>
          </w:tcPr>
          <w:p>
            <w:pPr>
              <w:jc w:val="left"/>
            </w:pPr>
            <w:r/>
            <w:r>
              <w:rPr>
                <w:rFonts w:ascii="Calibri" w:hAnsi="Calibri"/>
                <w:b/>
                <w:sz w:val="20"/>
              </w:rPr>
              <w:t>Capacity Overestimation</w:t>
            </w:r>
          </w:p>
        </w:tc>
        <w:tc>
          <w:tcPr>
            <w:tcW w:type="dxa" w:w="5760"/>
            <w:vAlign w:val="center"/>
          </w:tcPr>
          <w:p>
            <w:pPr>
              <w:jc w:val="left"/>
            </w:pPr>
            <w:r/>
            <w:r>
              <w:rPr>
                <w:rFonts w:ascii="Calibri" w:hAnsi="Calibri"/>
                <w:b w:val="0"/>
                <w:sz w:val="20"/>
              </w:rPr>
              <w:t>Indirect associates (auditors, CTs on assignment, restricted duty) inflate production headcount if not separately tracked.</w:t>
            </w:r>
          </w:p>
        </w:tc>
      </w:tr>
      <w:tr>
        <w:tc>
          <w:tcPr>
            <w:tcW w:type="dxa" w:w="3600"/>
            <w:shd w:val="clear" w:color="auto" w:fill="EBF3FB"/>
            <w:vAlign w:val="center"/>
          </w:tcPr>
          <w:p>
            <w:pPr>
              <w:jc w:val="left"/>
            </w:pPr>
            <w:r/>
            <w:r>
              <w:rPr>
                <w:rFonts w:ascii="Calibri" w:hAnsi="Calibri"/>
                <w:b/>
                <w:sz w:val="20"/>
              </w:rPr>
              <w:t>Management Overhead</w:t>
            </w:r>
          </w:p>
        </w:tc>
        <w:tc>
          <w:tcPr>
            <w:tcW w:type="dxa" w:w="5760"/>
            <w:vAlign w:val="center"/>
          </w:tcPr>
          <w:p>
            <w:pPr>
              <w:jc w:val="left"/>
            </w:pPr>
            <w:r/>
            <w:r>
              <w:rPr>
                <w:rFonts w:ascii="Calibri" w:hAnsi="Calibri"/>
                <w:b w:val="0"/>
                <w:sz w:val="20"/>
              </w:rPr>
              <w:t>Supervisors spend excessive time manually gathering headcount information instead of directing labor.</w:t>
            </w:r>
          </w:p>
        </w:tc>
      </w:tr>
    </w:tbl>
    <w:p/>
    <w:p>
      <w:pPr>
        <w:spacing w:before="280" w:after="80"/>
      </w:pPr>
      <w:r>
        <w:rPr>
          <w:rFonts w:ascii="Calibri" w:hAnsi="Calibri"/>
          <w:b/>
          <w:color w:val="1F497D"/>
          <w:sz w:val="28"/>
        </w:rPr>
        <w:t>3. Proposed Solution</w:t>
      </w:r>
    </w:p>
    <w:p>
      <w:pPr>
        <w:spacing w:before="280" w:after="80"/>
      </w:pPr>
      <w:r>
        <w:rPr>
          <w:rFonts w:ascii="Calibri" w:hAnsi="Calibri"/>
          <w:b/>
          <w:color w:val="000000"/>
          <w:sz w:val="24"/>
        </w:rPr>
        <w:t>3.1  Solution Overview</w:t>
      </w:r>
    </w:p>
    <w:p>
      <w:pPr>
        <w:spacing w:before="40" w:after="80"/>
      </w:pPr>
      <w:r>
        <w:rPr>
          <w:rFonts w:ascii="Calibri" w:hAnsi="Calibri"/>
          <w:b w:val="0"/>
          <w:sz w:val="22"/>
        </w:rPr>
        <w:t>The Shift Plan module is a real-time, browser-based dashboard integrated into the MeetOPS platform. It provides Operations Managers with a structured, data-driven workflow for planning and publishing daily shift staffing across all departments. The module is built on Next.js 15 (App Router), Neon PostgreSQL, Drizzle ORM, and Clerk authentication, consistent with the existing MeetOPS technical stack.</w:t>
      </w:r>
    </w:p>
    <w:p>
      <w:pPr>
        <w:spacing w:before="280" w:after="80"/>
      </w:pPr>
      <w:r>
        <w:rPr>
          <w:rFonts w:ascii="Calibri" w:hAnsi="Calibri"/>
          <w:b/>
          <w:color w:val="000000"/>
          <w:sz w:val="24"/>
        </w:rPr>
        <w:t>3.2  Key Capabilities</w:t>
      </w:r>
    </w:p>
    <w:p>
      <w:pPr>
        <w:spacing w:before="40" w:after="80"/>
      </w:pPr>
      <w:r>
        <w:rPr>
          <w:rFonts w:ascii="Calibri" w:hAnsi="Calibri"/>
          <w:b w:val="0"/>
          <w:sz w:val="22"/>
        </w:rPr>
        <w:t>The solution delivers the following capabilities:</w:t>
      </w:r>
    </w:p>
    <w:p>
      <w:pPr>
        <w:spacing w:before="80" w:after="40"/>
        <w:ind w:left="432"/>
      </w:pPr>
      <w:r>
        <w:rPr>
          <w:rFonts w:ascii="Calibri" w:hAnsi="Calibri"/>
          <w:b/>
          <w:sz w:val="22"/>
        </w:rPr>
        <w:t xml:space="preserve">Department Submission Cards: </w:t>
      </w:r>
      <w:r>
        <w:rPr>
          <w:rFonts w:ascii="Calibri" w:hAnsi="Calibri"/>
          <w:b w:val="0"/>
          <w:sz w:val="22"/>
        </w:rPr>
        <w:t>Each department has a submission card where the responsible manager records scheduled headcount, callouts, OT additions, and designated-role entries. Data is persisted to the database in real time.</w:t>
      </w:r>
    </w:p>
    <w:p>
      <w:pPr>
        <w:spacing w:before="80" w:after="40"/>
        <w:ind w:left="432"/>
      </w:pPr>
      <w:r>
        <w:rPr>
          <w:rFonts w:ascii="Calibri" w:hAnsi="Calibri"/>
          <w:b/>
          <w:sz w:val="22"/>
        </w:rPr>
        <w:t xml:space="preserve">Designated Role Tracking (Exempt / Non-Exempt): </w:t>
      </w:r>
      <w:r>
        <w:rPr>
          <w:rFonts w:ascii="Calibri" w:hAnsi="Calibri"/>
          <w:b w:val="0"/>
          <w:sz w:val="22"/>
        </w:rPr>
        <w:t>Designated associates are categorized as either producing (present and completing department actions) or indirect/exempt (e.g., auditors, CTs on coaching assignment, restricted duty). Only exempt-flagged entries are subtracted from effective production headcount, preventing capacity overestimation while still documenting all role assignments.</w:t>
      </w:r>
    </w:p>
    <w:p>
      <w:pPr>
        <w:spacing w:before="80" w:after="40"/>
        <w:ind w:left="432"/>
      </w:pPr>
      <w:r>
        <w:rPr>
          <w:rFonts w:ascii="Calibri" w:hAnsi="Calibri"/>
          <w:b/>
          <w:sz w:val="22"/>
        </w:rPr>
        <w:t xml:space="preserve">Shift Schedule Proration: </w:t>
      </w:r>
      <w:r>
        <w:rPr>
          <w:rFonts w:ascii="Calibri" w:hAnsi="Calibri"/>
          <w:b w:val="0"/>
          <w:sz w:val="22"/>
        </w:rPr>
        <w:t>Department headcount is prorated against actual shift start and end times, providing accurate capacity estimates for each hour of the operational window rather than a flat daily total.</w:t>
      </w:r>
    </w:p>
    <w:p>
      <w:pPr>
        <w:spacing w:before="80" w:after="40"/>
        <w:ind w:left="432"/>
      </w:pPr>
      <w:r>
        <w:rPr>
          <w:rFonts w:ascii="Calibri" w:hAnsi="Calibri"/>
          <w:b/>
          <w:sz w:val="22"/>
        </w:rPr>
        <w:t xml:space="preserve">Quarter-Based Planning (Q1–Q4): </w:t>
      </w:r>
      <w:r>
        <w:rPr>
          <w:rFonts w:ascii="Calibri" w:hAnsi="Calibri"/>
          <w:b w:val="0"/>
          <w:sz w:val="22"/>
        </w:rPr>
        <w:t>The shift day is divided into four quarters, each displaying effective headcount, estimated throughput capacity, inbound appointment demand, and labor gap status (green / amber / red).</w:t>
      </w:r>
    </w:p>
    <w:p>
      <w:pPr>
        <w:spacing w:before="80" w:after="40"/>
        <w:ind w:left="432"/>
      </w:pPr>
      <w:r>
        <w:rPr>
          <w:rFonts w:ascii="Calibri" w:hAnsi="Calibri"/>
          <w:b/>
          <w:sz w:val="22"/>
        </w:rPr>
        <w:t xml:space="preserve">Automated Flex Recommendations: </w:t>
      </w:r>
      <w:r>
        <w:rPr>
          <w:rFonts w:ascii="Calibri" w:hAnsi="Calibri"/>
          <w:b w:val="0"/>
          <w:sz w:val="22"/>
        </w:rPr>
        <w:t>When a department is understaffed, the system recommends specific flex moves based on predefined compatibility rules (e.g., Processing → Picking, Returns → Customer Service with a cap of 3 workers). Recommendations are advisory; the Operations Manager confirms all moves.</w:t>
      </w:r>
    </w:p>
    <w:p>
      <w:pPr>
        <w:spacing w:before="80" w:after="40"/>
        <w:ind w:left="432"/>
      </w:pPr>
      <w:r>
        <w:rPr>
          <w:rFonts w:ascii="Calibri" w:hAnsi="Calibri"/>
          <w:b/>
          <w:sz w:val="22"/>
        </w:rPr>
        <w:t xml:space="preserve">Plan Publication and Lock: </w:t>
      </w:r>
      <w:r>
        <w:rPr>
          <w:rFonts w:ascii="Calibri" w:hAnsi="Calibri"/>
          <w:b w:val="0"/>
          <w:sz w:val="22"/>
        </w:rPr>
        <w:t>The Operations Manager publishes the finalized plan, locking all department submissions against further edits. Published plans are archived for historical review and performance comparison.</w:t>
      </w:r>
    </w:p>
    <w:p>
      <w:pPr>
        <w:spacing w:before="80" w:after="40"/>
        <w:ind w:left="432"/>
      </w:pPr>
      <w:r>
        <w:rPr>
          <w:rFonts w:ascii="Calibri" w:hAnsi="Calibri"/>
          <w:b/>
          <w:sz w:val="22"/>
        </w:rPr>
        <w:t xml:space="preserve">VTO Identification: </w:t>
      </w:r>
      <w:r>
        <w:rPr>
          <w:rFonts w:ascii="Calibri" w:hAnsi="Calibri"/>
          <w:b w:val="0"/>
          <w:sz w:val="22"/>
        </w:rPr>
        <w:t>In Q4, the module automatically identifies departments with a labor surplus (after all flex moves have been applied) and surfaces them as VTO candidates, allowing managers to proactively offer early release.</w:t>
      </w:r>
    </w:p>
    <w:p>
      <w:pPr>
        <w:spacing w:before="80" w:after="40"/>
        <w:ind w:left="432"/>
      </w:pPr>
      <w:r>
        <w:rPr>
          <w:rFonts w:ascii="Calibri" w:hAnsi="Calibri"/>
          <w:b/>
          <w:sz w:val="22"/>
        </w:rPr>
        <w:t xml:space="preserve">Historical Plan Archive: </w:t>
      </w:r>
      <w:r>
        <w:rPr>
          <w:rFonts w:ascii="Calibri" w:hAnsi="Calibri"/>
          <w:b w:val="0"/>
          <w:sz w:val="22"/>
        </w:rPr>
        <w:t>All published plans are stored and accessible for retrospective analysis, enabling managers to benchmark staffing decisions against actual throughput outcomes.</w:t>
      </w:r>
    </w:p>
    <w:p>
      <w:pPr>
        <w:spacing w:before="280" w:after="80"/>
      </w:pPr>
      <w:r>
        <w:rPr>
          <w:rFonts w:ascii="Calibri" w:hAnsi="Calibri"/>
          <w:b/>
          <w:color w:val="000000"/>
          <w:sz w:val="24"/>
        </w:rPr>
        <w:t>3.3  Technical Approach</w:t>
      </w:r>
    </w:p>
    <w:p>
      <w:pPr>
        <w:spacing w:before="40" w:after="80"/>
      </w:pPr>
      <w:r>
        <w:rPr>
          <w:rFonts w:ascii="Calibri" w:hAnsi="Calibri"/>
          <w:b w:val="0"/>
          <w:sz w:val="22"/>
        </w:rPr>
        <w:t>The implementation follows the MeetOPS architectural standards:</w:t>
      </w:r>
    </w:p>
    <w:p>
      <w:pPr>
        <w:pStyle w:val="ListBullet"/>
        <w:spacing w:before="20" w:after="20"/>
        <w:ind w:left="432"/>
      </w:pPr>
      <w:r>
        <w:rPr>
          <w:rFonts w:ascii="Calibri" w:hAnsi="Calibri"/>
          <w:b w:val="0"/>
          <w:sz w:val="22"/>
        </w:rPr>
        <w:t>API Routes: RESTful Next.js API routes handle plan creation, department submissions, roster updates, flex entries, and publication events. All routes are Clerk-authenticated.</w:t>
      </w:r>
    </w:p>
    <w:p>
      <w:pPr>
        <w:pStyle w:val="ListBullet"/>
        <w:spacing w:before="20" w:after="20"/>
        <w:ind w:left="432"/>
      </w:pPr>
      <w:r>
        <w:rPr>
          <w:rFonts w:ascii="Calibri" w:hAnsi="Calibri"/>
          <w:b w:val="0"/>
          <w:sz w:val="22"/>
        </w:rPr>
        <w:t>Database: Drizzle ORM with Neon serverless PostgreSQL. Schema includes shift_plans (one row per date/location), shift_plan_submissions (one per dept per plan), and flex_plan_entries for documented flex moves.</w:t>
      </w:r>
    </w:p>
    <w:p>
      <w:pPr>
        <w:pStyle w:val="ListBullet"/>
        <w:spacing w:before="20" w:after="20"/>
        <w:ind w:left="432"/>
      </w:pPr>
      <w:r>
        <w:rPr>
          <w:rFonts w:ascii="Calibri" w:hAnsi="Calibri"/>
          <w:b w:val="0"/>
          <w:sz w:val="22"/>
        </w:rPr>
        <w:t>State Management: TanStack Query v5 for server state (plan data, submissions, roster); Zustand v5 for UI state (selected date, active quarter, drawer open/close).</w:t>
      </w:r>
    </w:p>
    <w:p>
      <w:pPr>
        <w:pStyle w:val="ListBullet"/>
        <w:spacing w:before="20" w:after="20"/>
        <w:ind w:left="432"/>
      </w:pPr>
      <w:r>
        <w:rPr>
          <w:rFonts w:ascii="Calibri" w:hAnsi="Calibri"/>
          <w:b w:val="0"/>
          <w:sz w:val="22"/>
        </w:rPr>
        <w:t>Authorization: Clerk middleware enforces authentication. Plan publication is gated to authorized managers. CTs and non-Nellis accounts cannot modify plans.</w:t>
      </w:r>
    </w:p>
    <w:p>
      <w:pPr>
        <w:pStyle w:val="ListBullet"/>
        <w:spacing w:before="20" w:after="20"/>
        <w:ind w:left="432"/>
      </w:pPr>
      <w:r>
        <w:rPr>
          <w:rFonts w:ascii="Calibri" w:hAnsi="Calibri"/>
          <w:b w:val="0"/>
          <w:sz w:val="22"/>
        </w:rPr>
        <w:t>No external dependencies beyond the existing MeetOPS stack are required.</w:t>
      </w:r>
    </w:p>
    <w:p>
      <w:pPr>
        <w:spacing w:before="280" w:after="80"/>
      </w:pPr>
      <w:r>
        <w:rPr>
          <w:rFonts w:ascii="Calibri" w:hAnsi="Calibri"/>
          <w:b/>
          <w:color w:val="000000"/>
          <w:sz w:val="24"/>
        </w:rPr>
        <w:t>3.4  Scope Boundaries</w:t>
      </w:r>
    </w:p>
    <w:p>
      <w:pPr>
        <w:spacing w:before="40" w:after="80"/>
      </w:pPr>
      <w:r>
        <w:rPr>
          <w:rFonts w:ascii="Calibri" w:hAnsi="Calibri"/>
          <w:b w:val="0"/>
          <w:sz w:val="22"/>
        </w:rPr>
        <w:t>In scope:</w:t>
      </w:r>
    </w:p>
    <w:p>
      <w:pPr>
        <w:pStyle w:val="ListBullet"/>
        <w:spacing w:before="20" w:after="20"/>
        <w:ind w:left="432"/>
      </w:pPr>
      <w:r>
        <w:rPr>
          <w:rFonts w:ascii="Calibri" w:hAnsi="Calibri"/>
          <w:b w:val="0"/>
          <w:sz w:val="22"/>
        </w:rPr>
        <w:t>Single-location deployment (Mesa, AZ)</w:t>
      </w:r>
    </w:p>
    <w:p>
      <w:pPr>
        <w:pStyle w:val="ListBullet"/>
        <w:spacing w:before="20" w:after="20"/>
        <w:ind w:left="432"/>
      </w:pPr>
      <w:r>
        <w:rPr>
          <w:rFonts w:ascii="Calibri" w:hAnsi="Calibri"/>
          <w:b w:val="0"/>
          <w:sz w:val="22"/>
        </w:rPr>
        <w:t>Daily plan creation, submission, flex documentation, and publication</w:t>
      </w:r>
    </w:p>
    <w:p>
      <w:pPr>
        <w:pStyle w:val="ListBullet"/>
        <w:spacing w:before="20" w:after="20"/>
        <w:ind w:left="432"/>
      </w:pPr>
      <w:r>
        <w:rPr>
          <w:rFonts w:ascii="Calibri" w:hAnsi="Calibri"/>
          <w:b w:val="0"/>
          <w:sz w:val="22"/>
        </w:rPr>
        <w:t>Shift schedule proration and quarter-based capacity display</w:t>
      </w:r>
    </w:p>
    <w:p>
      <w:pPr>
        <w:pStyle w:val="ListBullet"/>
        <w:spacing w:before="20" w:after="20"/>
        <w:ind w:left="432"/>
      </w:pPr>
      <w:r>
        <w:rPr>
          <w:rFonts w:ascii="Calibri" w:hAnsi="Calibri"/>
          <w:b w:val="0"/>
          <w:sz w:val="22"/>
        </w:rPr>
        <w:t>Automated flex recommendations for defined department pairs</w:t>
      </w:r>
    </w:p>
    <w:p>
      <w:pPr>
        <w:pStyle w:val="ListBullet"/>
        <w:spacing w:before="20" w:after="20"/>
        <w:ind w:left="432"/>
      </w:pPr>
      <w:r>
        <w:rPr>
          <w:rFonts w:ascii="Calibri" w:hAnsi="Calibri"/>
          <w:b w:val="0"/>
          <w:sz w:val="22"/>
        </w:rPr>
        <w:t>VTO identification in Q4</w:t>
      </w:r>
    </w:p>
    <w:p>
      <w:pPr>
        <w:pStyle w:val="ListBullet"/>
        <w:spacing w:before="20" w:after="20"/>
        <w:ind w:left="432"/>
      </w:pPr>
      <w:r>
        <w:rPr>
          <w:rFonts w:ascii="Calibri" w:hAnsi="Calibri"/>
          <w:b w:val="0"/>
          <w:sz w:val="22"/>
        </w:rPr>
        <w:t>Historical plan archive with read-only access</w:t>
      </w:r>
    </w:p>
    <w:p>
      <w:pPr>
        <w:spacing w:before="40" w:after="80"/>
      </w:pPr>
      <w:r>
        <w:rPr>
          <w:rFonts w:ascii="Calibri" w:hAnsi="Calibri"/>
          <w:b w:val="0"/>
          <w:sz w:val="22"/>
        </w:rPr>
        <w:t>Out of scope:</w:t>
      </w:r>
    </w:p>
    <w:p>
      <w:pPr>
        <w:pStyle w:val="ListBullet"/>
        <w:spacing w:before="20" w:after="20"/>
        <w:ind w:left="432"/>
      </w:pPr>
      <w:r>
        <w:rPr>
          <w:rFonts w:ascii="Calibri" w:hAnsi="Calibri"/>
          <w:b w:val="0"/>
          <w:sz w:val="22"/>
        </w:rPr>
        <w:t>Automated integration with Paylocity or any third-party HRIS (manual roster entry for now)</w:t>
      </w:r>
    </w:p>
    <w:p>
      <w:pPr>
        <w:pStyle w:val="ListBullet"/>
        <w:spacing w:before="20" w:after="20"/>
        <w:ind w:left="432"/>
      </w:pPr>
      <w:r>
        <w:rPr>
          <w:rFonts w:ascii="Calibri" w:hAnsi="Calibri"/>
          <w:b w:val="0"/>
          <w:sz w:val="22"/>
        </w:rPr>
        <w:t>Multi-location support (future phase)</w:t>
      </w:r>
    </w:p>
    <w:p>
      <w:pPr>
        <w:pStyle w:val="ListBullet"/>
        <w:spacing w:before="20" w:after="20"/>
        <w:ind w:left="432"/>
      </w:pPr>
      <w:r>
        <w:rPr>
          <w:rFonts w:ascii="Calibri" w:hAnsi="Calibri"/>
          <w:b w:val="0"/>
          <w:sz w:val="22"/>
        </w:rPr>
        <w:t>Employee-level shift assignment or scheduling</w:t>
      </w:r>
    </w:p>
    <w:p>
      <w:pPr>
        <w:pStyle w:val="ListBullet"/>
        <w:spacing w:before="20" w:after="20"/>
        <w:ind w:left="432"/>
      </w:pPr>
      <w:r>
        <w:rPr>
          <w:rFonts w:ascii="Calibri" w:hAnsi="Calibri"/>
          <w:b w:val="0"/>
          <w:sz w:val="22"/>
        </w:rPr>
        <w:t>Mobile-optimized interface (desktop-first for Operations Manager workstations)</w:t>
      </w:r>
    </w:p>
    <w:p>
      <w:pPr>
        <w:spacing w:before="280" w:after="80"/>
      </w:pPr>
      <w:r>
        <w:rPr>
          <w:rFonts w:ascii="Calibri" w:hAnsi="Calibri"/>
          <w:b/>
          <w:color w:val="1F497D"/>
          <w:sz w:val="28"/>
        </w:rPr>
        <w:t>4. Expected Results</w:t>
      </w:r>
    </w:p>
    <w:p>
      <w:pPr>
        <w:spacing w:before="280" w:after="80"/>
      </w:pPr>
      <w:r>
        <w:rPr>
          <w:rFonts w:ascii="Calibri" w:hAnsi="Calibri"/>
          <w:b/>
          <w:color w:val="000000"/>
          <w:sz w:val="24"/>
        </w:rPr>
        <w:t>4.1  Quantitative Outcomes</w:t>
      </w:r>
    </w:p>
    <w:p>
      <w:pPr>
        <w:spacing w:before="40" w:after="80"/>
      </w:pPr>
      <w:r>
        <w:rPr>
          <w:rFonts w:ascii="Calibri" w:hAnsi="Calibri"/>
          <w:b w:val="0"/>
          <w:sz w:val="22"/>
        </w:rPr>
        <w:t>The following measurable improvements are anticipated within 60 days of go-live:</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F497D"/>
            <w:vAlign w:val="center"/>
          </w:tcPr>
          <w:p>
            <w:pPr>
              <w:jc w:val="center"/>
            </w:pPr>
            <w:r/>
            <w:r>
              <w:rPr>
                <w:rFonts w:ascii="Calibri" w:hAnsi="Calibri"/>
                <w:b/>
                <w:color w:val="FFFFFF"/>
                <w:sz w:val="20"/>
              </w:rPr>
              <w:t>Metric</w:t>
            </w:r>
          </w:p>
        </w:tc>
        <w:tc>
          <w:tcPr>
            <w:tcW w:type="dxa" w:w="3168"/>
            <w:shd w:val="clear" w:color="auto" w:fill="1F497D"/>
            <w:vAlign w:val="center"/>
          </w:tcPr>
          <w:p>
            <w:pPr>
              <w:jc w:val="center"/>
            </w:pPr>
            <w:r/>
            <w:r>
              <w:rPr>
                <w:rFonts w:ascii="Calibri" w:hAnsi="Calibri"/>
                <w:b/>
                <w:color w:val="FFFFFF"/>
                <w:sz w:val="20"/>
              </w:rPr>
              <w:t>Baseline (Current)</w:t>
            </w:r>
          </w:p>
        </w:tc>
        <w:tc>
          <w:tcPr>
            <w:tcW w:type="dxa" w:w="3024"/>
            <w:shd w:val="clear" w:color="auto" w:fill="1F497D"/>
            <w:vAlign w:val="center"/>
          </w:tcPr>
          <w:p>
            <w:pPr>
              <w:jc w:val="center"/>
            </w:pPr>
            <w:r/>
            <w:r>
              <w:rPr>
                <w:rFonts w:ascii="Calibri" w:hAnsi="Calibri"/>
                <w:b/>
                <w:color w:val="FFFFFF"/>
                <w:sz w:val="20"/>
              </w:rPr>
              <w:t>Target</w:t>
            </w:r>
          </w:p>
        </w:tc>
      </w:tr>
      <w:tr>
        <w:tc>
          <w:tcPr>
            <w:tcW w:type="dxa" w:w="3168"/>
            <w:shd w:val="clear" w:color="auto" w:fill="EBF3FB"/>
            <w:vAlign w:val="center"/>
          </w:tcPr>
          <w:p>
            <w:pPr>
              <w:jc w:val="left"/>
            </w:pPr>
            <w:r/>
            <w:r>
              <w:rPr>
                <w:rFonts w:ascii="Calibri" w:hAnsi="Calibri"/>
                <w:b/>
                <w:sz w:val="20"/>
              </w:rPr>
              <w:t>Time to complete daily headcount check-in</w:t>
            </w:r>
          </w:p>
        </w:tc>
        <w:tc>
          <w:tcPr>
            <w:tcW w:type="dxa" w:w="3168"/>
            <w:vAlign w:val="center"/>
          </w:tcPr>
          <w:p>
            <w:pPr>
              <w:jc w:val="left"/>
            </w:pPr>
            <w:r/>
            <w:r>
              <w:rPr>
                <w:rFonts w:ascii="Calibri" w:hAnsi="Calibri"/>
                <w:b w:val="0"/>
                <w:sz w:val="20"/>
              </w:rPr>
              <w:t>15–25 min (manual, verbal)</w:t>
            </w:r>
          </w:p>
        </w:tc>
        <w:tc>
          <w:tcPr>
            <w:tcW w:type="dxa" w:w="3024"/>
            <w:vAlign w:val="center"/>
          </w:tcPr>
          <w:p>
            <w:pPr>
              <w:jc w:val="left"/>
            </w:pPr>
            <w:r/>
            <w:r>
              <w:rPr>
                <w:rFonts w:ascii="Calibri" w:hAnsi="Calibri"/>
                <w:b w:val="0"/>
                <w:sz w:val="20"/>
              </w:rPr>
              <w:t>&lt; 5 min (digital submission)</w:t>
            </w:r>
          </w:p>
        </w:tc>
      </w:tr>
      <w:tr>
        <w:tc>
          <w:tcPr>
            <w:tcW w:type="dxa" w:w="3168"/>
            <w:shd w:val="clear" w:color="auto" w:fill="EBF3FB"/>
            <w:vAlign w:val="center"/>
          </w:tcPr>
          <w:p>
            <w:pPr>
              <w:jc w:val="left"/>
            </w:pPr>
            <w:r/>
            <w:r>
              <w:rPr>
                <w:rFonts w:ascii="Calibri" w:hAnsi="Calibri"/>
                <w:b/>
                <w:sz w:val="20"/>
              </w:rPr>
              <w:t>Departments with unresolved labor deficits at shift start</w:t>
            </w:r>
          </w:p>
        </w:tc>
        <w:tc>
          <w:tcPr>
            <w:tcW w:type="dxa" w:w="3168"/>
            <w:vAlign w:val="center"/>
          </w:tcPr>
          <w:p>
            <w:pPr>
              <w:jc w:val="left"/>
            </w:pPr>
            <w:r/>
            <w:r>
              <w:rPr>
                <w:rFonts w:ascii="Calibri" w:hAnsi="Calibri"/>
                <w:b w:val="0"/>
                <w:sz w:val="20"/>
              </w:rPr>
              <w:t>Untracked</w:t>
            </w:r>
          </w:p>
        </w:tc>
        <w:tc>
          <w:tcPr>
            <w:tcW w:type="dxa" w:w="3024"/>
            <w:vAlign w:val="center"/>
          </w:tcPr>
          <w:p>
            <w:pPr>
              <w:jc w:val="left"/>
            </w:pPr>
            <w:r/>
            <w:r>
              <w:rPr>
                <w:rFonts w:ascii="Calibri" w:hAnsi="Calibri"/>
                <w:b w:val="0"/>
                <w:sz w:val="20"/>
              </w:rPr>
              <w:t>0 deficits unaddressed past Q1</w:t>
            </w:r>
          </w:p>
        </w:tc>
      </w:tr>
      <w:tr>
        <w:tc>
          <w:tcPr>
            <w:tcW w:type="dxa" w:w="3168"/>
            <w:shd w:val="clear" w:color="auto" w:fill="EBF3FB"/>
            <w:vAlign w:val="center"/>
          </w:tcPr>
          <w:p>
            <w:pPr>
              <w:jc w:val="left"/>
            </w:pPr>
            <w:r/>
            <w:r>
              <w:rPr>
                <w:rFonts w:ascii="Calibri" w:hAnsi="Calibri"/>
                <w:b/>
                <w:sz w:val="20"/>
              </w:rPr>
              <w:t>Flex move documentation rate</w:t>
            </w:r>
          </w:p>
        </w:tc>
        <w:tc>
          <w:tcPr>
            <w:tcW w:type="dxa" w:w="3168"/>
            <w:vAlign w:val="center"/>
          </w:tcPr>
          <w:p>
            <w:pPr>
              <w:jc w:val="left"/>
            </w:pPr>
            <w:r/>
            <w:r>
              <w:rPr>
                <w:rFonts w:ascii="Calibri" w:hAnsi="Calibri"/>
                <w:b w:val="0"/>
                <w:sz w:val="20"/>
              </w:rPr>
              <w:t>~0% (verbal only)</w:t>
            </w:r>
          </w:p>
        </w:tc>
        <w:tc>
          <w:tcPr>
            <w:tcW w:type="dxa" w:w="3024"/>
            <w:vAlign w:val="center"/>
          </w:tcPr>
          <w:p>
            <w:pPr>
              <w:jc w:val="left"/>
            </w:pPr>
            <w:r/>
            <w:r>
              <w:rPr>
                <w:rFonts w:ascii="Calibri" w:hAnsi="Calibri"/>
                <w:b w:val="0"/>
                <w:sz w:val="20"/>
              </w:rPr>
              <w:t>100% of moves logged in system</w:t>
            </w:r>
          </w:p>
        </w:tc>
      </w:tr>
      <w:tr>
        <w:tc>
          <w:tcPr>
            <w:tcW w:type="dxa" w:w="3168"/>
            <w:shd w:val="clear" w:color="auto" w:fill="EBF3FB"/>
            <w:vAlign w:val="center"/>
          </w:tcPr>
          <w:p>
            <w:pPr>
              <w:jc w:val="left"/>
            </w:pPr>
            <w:r/>
            <w:r>
              <w:rPr>
                <w:rFonts w:ascii="Calibri" w:hAnsi="Calibri"/>
                <w:b/>
                <w:sz w:val="20"/>
              </w:rPr>
              <w:t>Capacity overestimation events (indirect counted as production)</w:t>
            </w:r>
          </w:p>
        </w:tc>
        <w:tc>
          <w:tcPr>
            <w:tcW w:type="dxa" w:w="3168"/>
            <w:vAlign w:val="center"/>
          </w:tcPr>
          <w:p>
            <w:pPr>
              <w:jc w:val="left"/>
            </w:pPr>
            <w:r/>
            <w:r>
              <w:rPr>
                <w:rFonts w:ascii="Calibri" w:hAnsi="Calibri"/>
                <w:b w:val="0"/>
                <w:sz w:val="20"/>
              </w:rPr>
              <w:t>Frequent (untracked)</w:t>
            </w:r>
          </w:p>
        </w:tc>
        <w:tc>
          <w:tcPr>
            <w:tcW w:type="dxa" w:w="3024"/>
            <w:vAlign w:val="center"/>
          </w:tcPr>
          <w:p>
            <w:pPr>
              <w:jc w:val="left"/>
            </w:pPr>
            <w:r/>
            <w:r>
              <w:rPr>
                <w:rFonts w:ascii="Calibri" w:hAnsi="Calibri"/>
                <w:b w:val="0"/>
                <w:sz w:val="20"/>
              </w:rPr>
              <w:t>Eliminated via exempt flag</w:t>
            </w:r>
          </w:p>
        </w:tc>
      </w:tr>
    </w:tbl>
    <w:p/>
    <w:p>
      <w:pPr>
        <w:spacing w:before="280" w:after="80"/>
      </w:pPr>
      <w:r>
        <w:rPr>
          <w:rFonts w:ascii="Calibri" w:hAnsi="Calibri"/>
          <w:b/>
          <w:color w:val="000000"/>
          <w:sz w:val="24"/>
        </w:rPr>
        <w:t>4.2  Qualitative Outcomes</w:t>
      </w:r>
    </w:p>
    <w:p>
      <w:pPr>
        <w:spacing w:before="40" w:after="80"/>
      </w:pPr>
      <w:r>
        <w:rPr>
          <w:rFonts w:ascii="Calibri" w:hAnsi="Calibri"/>
          <w:b w:val="0"/>
          <w:sz w:val="22"/>
        </w:rPr>
        <w:t>Beyond measurable metrics, the following operational improvements are expected:</w:t>
      </w:r>
    </w:p>
    <w:p>
      <w:pPr>
        <w:pStyle w:val="ListBullet"/>
        <w:spacing w:before="20" w:after="20"/>
        <w:ind w:left="432"/>
      </w:pPr>
      <w:r>
        <w:rPr>
          <w:rFonts w:ascii="Calibri" w:hAnsi="Calibri"/>
          <w:b w:val="0"/>
          <w:sz w:val="22"/>
        </w:rPr>
        <w:t>Operations Managers gain a single authoritative view of the shift's labor position, eliminating the need for floor walk-arounds solely to count heads.</w:t>
      </w:r>
    </w:p>
    <w:p>
      <w:pPr>
        <w:pStyle w:val="ListBullet"/>
        <w:spacing w:before="20" w:after="20"/>
        <w:ind w:left="432"/>
      </w:pPr>
      <w:r>
        <w:rPr>
          <w:rFonts w:ascii="Calibri" w:hAnsi="Calibri"/>
          <w:b w:val="0"/>
          <w:sz w:val="22"/>
        </w:rPr>
        <w:t>Labor flex decisions are data-driven and auditable, replacing ad hoc verbal instructions with logged, timestamped records.</w:t>
      </w:r>
    </w:p>
    <w:p>
      <w:pPr>
        <w:pStyle w:val="ListBullet"/>
        <w:spacing w:before="20" w:after="20"/>
        <w:ind w:left="432"/>
      </w:pPr>
      <w:r>
        <w:rPr>
          <w:rFonts w:ascii="Calibri" w:hAnsi="Calibri"/>
          <w:b w:val="0"/>
          <w:sz w:val="22"/>
        </w:rPr>
        <w:t>Department supervisors develop a structured daily ritual for reporting headcount, creating accountability and consistency across shifts.</w:t>
      </w:r>
    </w:p>
    <w:p>
      <w:pPr>
        <w:pStyle w:val="ListBullet"/>
        <w:spacing w:before="20" w:after="20"/>
        <w:ind w:left="432"/>
      </w:pPr>
      <w:r>
        <w:rPr>
          <w:rFonts w:ascii="Calibri" w:hAnsi="Calibri"/>
          <w:b w:val="0"/>
          <w:sz w:val="22"/>
        </w:rPr>
        <w:t>Archived published plans create an institutional memory of staffing decisions, enabling managers to learn from past under/over-staffing patterns.</w:t>
      </w:r>
    </w:p>
    <w:p>
      <w:pPr>
        <w:pStyle w:val="ListBullet"/>
        <w:spacing w:before="20" w:after="20"/>
        <w:ind w:left="432"/>
      </w:pPr>
      <w:r>
        <w:rPr>
          <w:rFonts w:ascii="Calibri" w:hAnsi="Calibri"/>
          <w:b w:val="0"/>
          <w:sz w:val="22"/>
        </w:rPr>
        <w:t>VTO identification reduces overtime costs by creating a systematic early-release process rather than waiting for late-shift slowdowns.</w:t>
      </w:r>
    </w:p>
    <w:p>
      <w:pPr>
        <w:spacing w:before="280" w:after="80"/>
      </w:pPr>
      <w:r>
        <w:rPr>
          <w:rFonts w:ascii="Calibri" w:hAnsi="Calibri"/>
          <w:b/>
          <w:color w:val="000000"/>
          <w:sz w:val="24"/>
        </w:rPr>
        <w:t>4.3  Risk Considerations</w:t>
      </w:r>
    </w:p>
    <w:p>
      <w:pPr>
        <w:spacing w:before="40" w:after="80"/>
      </w:pPr>
      <w:r>
        <w:rPr>
          <w:rFonts w:ascii="Calibri" w:hAnsi="Calibri"/>
          <w:b w:val="0"/>
          <w:sz w:val="22"/>
        </w:rPr>
        <w:t>The following risks have been identified and mitigated in the design:</w:t>
      </w:r>
    </w:p>
    <w:tbl>
      <w:tblPr>
        <w:tblStyle w:val="TableGrid"/>
        <w:tblW w:type="auto" w:w="0"/>
        <w:jc w:val="left"/>
        <w:tblLook w:firstColumn="1" w:firstRow="1" w:lastColumn="0" w:lastRow="0" w:noHBand="0" w:noVBand="1" w:val="04A0"/>
      </w:tblPr>
      <w:tblGrid>
        <w:gridCol w:w="2880"/>
        <w:gridCol w:w="2880"/>
        <w:gridCol w:w="2880"/>
      </w:tblGrid>
      <w:tr>
        <w:tc>
          <w:tcPr>
            <w:tcW w:type="dxa" w:w="2592"/>
            <w:shd w:val="clear" w:color="auto" w:fill="1F497D"/>
            <w:vAlign w:val="center"/>
          </w:tcPr>
          <w:p>
            <w:pPr>
              <w:jc w:val="center"/>
            </w:pPr>
            <w:r/>
            <w:r>
              <w:rPr>
                <w:rFonts w:ascii="Calibri" w:hAnsi="Calibri"/>
                <w:b/>
                <w:color w:val="FFFFFF"/>
                <w:sz w:val="20"/>
              </w:rPr>
              <w:t>Risk</w:t>
            </w:r>
          </w:p>
        </w:tc>
        <w:tc>
          <w:tcPr>
            <w:tcW w:type="dxa" w:w="3168"/>
            <w:shd w:val="clear" w:color="auto" w:fill="1F497D"/>
            <w:vAlign w:val="center"/>
          </w:tcPr>
          <w:p>
            <w:pPr>
              <w:jc w:val="center"/>
            </w:pPr>
            <w:r/>
            <w:r>
              <w:rPr>
                <w:rFonts w:ascii="Calibri" w:hAnsi="Calibri"/>
                <w:b/>
                <w:color w:val="FFFFFF"/>
                <w:sz w:val="20"/>
              </w:rPr>
              <w:t>Likelihood / Impact</w:t>
            </w:r>
          </w:p>
        </w:tc>
        <w:tc>
          <w:tcPr>
            <w:tcW w:type="dxa" w:w="3600"/>
            <w:shd w:val="clear" w:color="auto" w:fill="1F497D"/>
            <w:vAlign w:val="center"/>
          </w:tcPr>
          <w:p>
            <w:pPr>
              <w:jc w:val="center"/>
            </w:pPr>
            <w:r/>
            <w:r>
              <w:rPr>
                <w:rFonts w:ascii="Calibri" w:hAnsi="Calibri"/>
                <w:b/>
                <w:color w:val="FFFFFF"/>
                <w:sz w:val="20"/>
              </w:rPr>
              <w:t>Mitigation</w:t>
            </w:r>
          </w:p>
        </w:tc>
      </w:tr>
      <w:tr>
        <w:tc>
          <w:tcPr>
            <w:tcW w:type="dxa" w:w="2592"/>
            <w:shd w:val="clear" w:color="auto" w:fill="EBF3FB"/>
            <w:vAlign w:val="center"/>
          </w:tcPr>
          <w:p>
            <w:pPr>
              <w:jc w:val="left"/>
            </w:pPr>
            <w:r/>
            <w:r>
              <w:rPr>
                <w:rFonts w:ascii="Calibri" w:hAnsi="Calibri"/>
                <w:b/>
                <w:sz w:val="20"/>
              </w:rPr>
              <w:t>Low adoption by dept supervisors</w:t>
            </w:r>
          </w:p>
        </w:tc>
        <w:tc>
          <w:tcPr>
            <w:tcW w:type="dxa" w:w="3168"/>
            <w:vAlign w:val="center"/>
          </w:tcPr>
          <w:p>
            <w:pPr>
              <w:jc w:val="center"/>
            </w:pPr>
            <w:r/>
            <w:r>
              <w:rPr>
                <w:rFonts w:ascii="Calibri" w:hAnsi="Calibri"/>
                <w:b w:val="0"/>
                <w:sz w:val="20"/>
              </w:rPr>
              <w:t>Medium / High</w:t>
            </w:r>
          </w:p>
        </w:tc>
        <w:tc>
          <w:tcPr>
            <w:tcW w:type="dxa" w:w="3600"/>
            <w:vAlign w:val="center"/>
          </w:tcPr>
          <w:p>
            <w:pPr>
              <w:jc w:val="left"/>
            </w:pPr>
            <w:r/>
            <w:r>
              <w:rPr>
                <w:rFonts w:ascii="Calibri" w:hAnsi="Calibri"/>
                <w:b w:val="0"/>
                <w:sz w:val="20"/>
              </w:rPr>
              <w:t>Submission card UI is minimal (3 inputs + optional designated entries). Training estimated at &lt; 10 minutes.</w:t>
            </w:r>
          </w:p>
        </w:tc>
      </w:tr>
      <w:tr>
        <w:tc>
          <w:tcPr>
            <w:tcW w:type="dxa" w:w="2592"/>
            <w:shd w:val="clear" w:color="auto" w:fill="EBF3FB"/>
            <w:vAlign w:val="center"/>
          </w:tcPr>
          <w:p>
            <w:pPr>
              <w:jc w:val="left"/>
            </w:pPr>
            <w:r/>
            <w:r>
              <w:rPr>
                <w:rFonts w:ascii="Calibri" w:hAnsi="Calibri"/>
                <w:b/>
                <w:sz w:val="20"/>
              </w:rPr>
              <w:t>Incorrect roster counts entered</w:t>
            </w:r>
          </w:p>
        </w:tc>
        <w:tc>
          <w:tcPr>
            <w:tcW w:type="dxa" w:w="3168"/>
            <w:vAlign w:val="center"/>
          </w:tcPr>
          <w:p>
            <w:pPr>
              <w:jc w:val="center"/>
            </w:pPr>
            <w:r/>
            <w:r>
              <w:rPr>
                <w:rFonts w:ascii="Calibri" w:hAnsi="Calibri"/>
                <w:b w:val="0"/>
                <w:sz w:val="20"/>
              </w:rPr>
              <w:t>Low / Medium</w:t>
            </w:r>
          </w:p>
        </w:tc>
        <w:tc>
          <w:tcPr>
            <w:tcW w:type="dxa" w:w="3600"/>
            <w:vAlign w:val="center"/>
          </w:tcPr>
          <w:p>
            <w:pPr>
              <w:jc w:val="left"/>
            </w:pPr>
            <w:r/>
            <w:r>
              <w:rPr>
                <w:rFonts w:ascii="Calibri" w:hAnsi="Calibri"/>
                <w:b w:val="0"/>
                <w:sz w:val="20"/>
              </w:rPr>
              <w:t>Roster is editable inline at any point before publication; resets are permitted with confirmation.</w:t>
            </w:r>
          </w:p>
        </w:tc>
      </w:tr>
      <w:tr>
        <w:tc>
          <w:tcPr>
            <w:tcW w:type="dxa" w:w="2592"/>
            <w:shd w:val="clear" w:color="auto" w:fill="EBF3FB"/>
            <w:vAlign w:val="center"/>
          </w:tcPr>
          <w:p>
            <w:pPr>
              <w:jc w:val="left"/>
            </w:pPr>
            <w:r/>
            <w:r>
              <w:rPr>
                <w:rFonts w:ascii="Calibri" w:hAnsi="Calibri"/>
                <w:b/>
                <w:sz w:val="20"/>
              </w:rPr>
              <w:t>Flex recommendations not followed</w:t>
            </w:r>
          </w:p>
        </w:tc>
        <w:tc>
          <w:tcPr>
            <w:tcW w:type="dxa" w:w="3168"/>
            <w:vAlign w:val="center"/>
          </w:tcPr>
          <w:p>
            <w:pPr>
              <w:jc w:val="center"/>
            </w:pPr>
            <w:r/>
            <w:r>
              <w:rPr>
                <w:rFonts w:ascii="Calibri" w:hAnsi="Calibri"/>
                <w:b w:val="0"/>
                <w:sz w:val="20"/>
              </w:rPr>
              <w:t>Medium / Low</w:t>
            </w:r>
          </w:p>
        </w:tc>
        <w:tc>
          <w:tcPr>
            <w:tcW w:type="dxa" w:w="3600"/>
            <w:vAlign w:val="center"/>
          </w:tcPr>
          <w:p>
            <w:pPr>
              <w:jc w:val="left"/>
            </w:pPr>
            <w:r/>
            <w:r>
              <w:rPr>
                <w:rFonts w:ascii="Calibri" w:hAnsi="Calibri"/>
                <w:b w:val="0"/>
                <w:sz w:val="20"/>
              </w:rPr>
              <w:t>Recommendations are advisory only. The system documents the final move, not the recommendation.</w:t>
            </w:r>
          </w:p>
        </w:tc>
      </w:tr>
      <w:tr>
        <w:tc>
          <w:tcPr>
            <w:tcW w:type="dxa" w:w="2592"/>
            <w:shd w:val="clear" w:color="auto" w:fill="EBF3FB"/>
            <w:vAlign w:val="center"/>
          </w:tcPr>
          <w:p>
            <w:pPr>
              <w:jc w:val="left"/>
            </w:pPr>
            <w:r/>
            <w:r>
              <w:rPr>
                <w:rFonts w:ascii="Calibri" w:hAnsi="Calibri"/>
                <w:b/>
                <w:sz w:val="20"/>
              </w:rPr>
              <w:t>Plan published prematurely</w:t>
            </w:r>
          </w:p>
        </w:tc>
        <w:tc>
          <w:tcPr>
            <w:tcW w:type="dxa" w:w="3168"/>
            <w:vAlign w:val="center"/>
          </w:tcPr>
          <w:p>
            <w:pPr>
              <w:jc w:val="center"/>
            </w:pPr>
            <w:r/>
            <w:r>
              <w:rPr>
                <w:rFonts w:ascii="Calibri" w:hAnsi="Calibri"/>
                <w:b w:val="0"/>
                <w:sz w:val="20"/>
              </w:rPr>
              <w:t>Low / High</w:t>
            </w:r>
          </w:p>
        </w:tc>
        <w:tc>
          <w:tcPr>
            <w:tcW w:type="dxa" w:w="3600"/>
            <w:vAlign w:val="center"/>
          </w:tcPr>
          <w:p>
            <w:pPr>
              <w:jc w:val="left"/>
            </w:pPr>
            <w:r/>
            <w:r>
              <w:rPr>
                <w:rFonts w:ascii="Calibri" w:hAnsi="Calibri"/>
                <w:b w:val="0"/>
                <w:sz w:val="20"/>
              </w:rPr>
              <w:t>Publication is a deliberate, confirmable action. Published plans are archived, not deleted.</w:t>
            </w:r>
          </w:p>
        </w:tc>
      </w:tr>
    </w:tbl>
    <w:p/>
    <w:p>
      <w:pPr>
        <w:spacing w:before="280" w:after="80"/>
      </w:pPr>
      <w:r>
        <w:rPr>
          <w:rFonts w:ascii="Calibri" w:hAnsi="Calibri"/>
          <w:b/>
          <w:color w:val="1F497D"/>
          <w:sz w:val="28"/>
        </w:rPr>
        <w:t>5. Alignment to Organizational Goals</w:t>
      </w:r>
    </w:p>
    <w:p>
      <w:pPr>
        <w:spacing w:before="40" w:after="80"/>
      </w:pPr>
      <w:r>
        <w:rPr>
          <w:rFonts w:ascii="Calibri" w:hAnsi="Calibri"/>
          <w:b w:val="0"/>
          <w:sz w:val="22"/>
        </w:rPr>
        <w:t>The Shift Plan module directly supports the following operational objectives at Nellis Auction Mesa:</w:t>
      </w:r>
    </w:p>
    <w:p>
      <w:pPr>
        <w:pStyle w:val="ListBullet"/>
        <w:spacing w:before="20" w:after="20"/>
        <w:ind w:left="432"/>
      </w:pPr>
      <w:r>
        <w:rPr>
          <w:rFonts w:ascii="Calibri" w:hAnsi="Calibri"/>
          <w:b w:val="0"/>
          <w:sz w:val="22"/>
        </w:rPr>
        <w:t>Throughput Maximization — Aligning labor to inbound appointment volume ensures processing capacity is deployed where demand is highest, reducing idle time and backlog.</w:t>
      </w:r>
    </w:p>
    <w:p>
      <w:pPr>
        <w:pStyle w:val="ListBullet"/>
        <w:spacing w:before="20" w:after="20"/>
        <w:ind w:left="432"/>
      </w:pPr>
      <w:r>
        <w:rPr>
          <w:rFonts w:ascii="Calibri" w:hAnsi="Calibri"/>
          <w:b w:val="0"/>
          <w:sz w:val="22"/>
        </w:rPr>
        <w:t>Labor Cost Control — Systematic VTO identification and documented flex moves reduce unplanned overtime and supervisor time spent on manual coordination.</w:t>
      </w:r>
    </w:p>
    <w:p>
      <w:pPr>
        <w:pStyle w:val="ListBullet"/>
        <w:spacing w:before="20" w:after="20"/>
        <w:ind w:left="432"/>
      </w:pPr>
      <w:r>
        <w:rPr>
          <w:rFonts w:ascii="Calibri" w:hAnsi="Calibri"/>
          <w:b w:val="0"/>
          <w:sz w:val="22"/>
        </w:rPr>
        <w:t>Operational Transparency — Published, locked plans create clear pre-shift commitments that can be reviewed against actual outcomes in post-shift analysis.</w:t>
      </w:r>
    </w:p>
    <w:p>
      <w:pPr>
        <w:pStyle w:val="ListBullet"/>
        <w:spacing w:before="20" w:after="20"/>
        <w:ind w:left="432"/>
      </w:pPr>
      <w:r>
        <w:rPr>
          <w:rFonts w:ascii="Calibri" w:hAnsi="Calibri"/>
          <w:b w:val="0"/>
          <w:sz w:val="22"/>
        </w:rPr>
        <w:t>Scalability — The module is designed as the foundation for future enhancements including live action-log integration for real-time headcount proxies and multi-location deployment.</w:t>
      </w:r>
    </w:p>
    <w:p>
      <w:pPr>
        <w:spacing w:before="280" w:after="80"/>
      </w:pPr>
      <w:r>
        <w:rPr>
          <w:rFonts w:ascii="Calibri" w:hAnsi="Calibri"/>
          <w:b/>
          <w:color w:val="1F497D"/>
          <w:sz w:val="28"/>
        </w:rPr>
        <w:t>6. Approval and Sign-Off</w:t>
      </w:r>
    </w:p>
    <w:p>
      <w:pPr>
        <w:spacing w:before="40" w:after="80"/>
      </w:pPr>
      <w:r>
        <w:rPr>
          <w:rFonts w:ascii="Calibri" w:hAnsi="Calibri"/>
          <w:b w:val="0"/>
          <w:sz w:val="22"/>
        </w:rPr>
        <w:t>The undersigned acknowledge and approve this business case for the MeetOPS Shift Plan module:</w:t>
      </w:r>
    </w:p>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F497D"/>
            <w:vAlign w:val="center"/>
          </w:tcPr>
          <w:p>
            <w:pPr>
              <w:jc w:val="center"/>
            </w:pPr>
            <w:r/>
            <w:r>
              <w:rPr>
                <w:rFonts w:ascii="Calibri" w:hAnsi="Calibri"/>
                <w:b/>
                <w:color w:val="FFFFFF"/>
                <w:sz w:val="20"/>
              </w:rPr>
              <w:t>Name</w:t>
            </w:r>
          </w:p>
        </w:tc>
        <w:tc>
          <w:tcPr>
            <w:tcW w:type="dxa" w:w="2880"/>
            <w:shd w:val="clear" w:color="auto" w:fill="1F497D"/>
            <w:vAlign w:val="center"/>
          </w:tcPr>
          <w:p>
            <w:pPr>
              <w:jc w:val="center"/>
            </w:pPr>
            <w:r/>
            <w:r>
              <w:rPr>
                <w:rFonts w:ascii="Calibri" w:hAnsi="Calibri"/>
                <w:b/>
                <w:color w:val="FFFFFF"/>
                <w:sz w:val="20"/>
              </w:rPr>
              <w:t>Title</w:t>
            </w:r>
          </w:p>
        </w:tc>
        <w:tc>
          <w:tcPr>
            <w:tcW w:type="dxa" w:w="3312"/>
            <w:shd w:val="clear" w:color="auto" w:fill="1F497D"/>
            <w:vAlign w:val="center"/>
          </w:tcPr>
          <w:p>
            <w:pPr>
              <w:jc w:val="center"/>
            </w:pPr>
            <w:r/>
            <w:r>
              <w:rPr>
                <w:rFonts w:ascii="Calibri" w:hAnsi="Calibri"/>
                <w:b/>
                <w:color w:val="FFFFFF"/>
                <w:sz w:val="20"/>
              </w:rPr>
              <w:t>Signature / Date</w:t>
            </w:r>
          </w:p>
        </w:tc>
      </w:tr>
      <w:tr>
        <w:tc>
          <w:tcPr>
            <w:tcW w:type="dxa" w:w="3168"/>
          </w:tcPr>
          <w:p>
            <w:pPr>
              <w:spacing w:before="320" w:after="320"/>
            </w:pPr>
            <w:r>
              <w:t xml:space="preserve">  </w:t>
            </w:r>
          </w:p>
        </w:tc>
        <w:tc>
          <w:tcPr>
            <w:tcW w:type="dxa" w:w="2880"/>
          </w:tcPr>
          <w:p>
            <w:pPr>
              <w:spacing w:before="320" w:after="320"/>
            </w:pPr>
            <w:r>
              <w:t xml:space="preserve">  </w:t>
            </w:r>
          </w:p>
        </w:tc>
        <w:tc>
          <w:tcPr>
            <w:tcW w:type="dxa" w:w="3312"/>
          </w:tcPr>
          <w:p>
            <w:pPr>
              <w:spacing w:before="320" w:after="320"/>
            </w:pPr>
            <w:r>
              <w:t xml:space="preserve">  </w:t>
            </w:r>
          </w:p>
        </w:tc>
      </w:tr>
      <w:tr>
        <w:tc>
          <w:tcPr>
            <w:tcW w:type="dxa" w:w="3168"/>
          </w:tcPr>
          <w:p>
            <w:pPr>
              <w:spacing w:before="320" w:after="320"/>
            </w:pPr>
            <w:r>
              <w:t xml:space="preserve">  </w:t>
            </w:r>
          </w:p>
        </w:tc>
        <w:tc>
          <w:tcPr>
            <w:tcW w:type="dxa" w:w="2880"/>
          </w:tcPr>
          <w:p>
            <w:pPr>
              <w:spacing w:before="320" w:after="320"/>
            </w:pPr>
            <w:r>
              <w:t xml:space="preserve">  </w:t>
            </w:r>
          </w:p>
        </w:tc>
        <w:tc>
          <w:tcPr>
            <w:tcW w:type="dxa" w:w="3312"/>
          </w:tcPr>
          <w:p>
            <w:pPr>
              <w:spacing w:before="320" w:after="320"/>
            </w:pPr>
            <w:r>
              <w:t xml:space="preserve">  </w:t>
            </w:r>
          </w:p>
        </w:tc>
      </w:tr>
    </w:tbl>
    <w:p/>
    <w:p>
      <w:pPr>
        <w:jc w:val="center"/>
      </w:pPr>
      <w:r>
        <w:rPr>
          <w:rFonts w:ascii="Calibri" w:hAnsi="Calibri"/>
          <w:b w:val="0"/>
          <w:color w:val="7F7F7F"/>
          <w:sz w:val="16"/>
        </w:rPr>
        <w:t>Document prepared in accordance with CompTIA Project+ (PK0-005) Business Case standards. Nellis Auction — MeetOPS Project  |  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