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should not be the last thing you do before releasing your software. That's why a secure coding standard has become a necessity. The SEI CERT C++ Coding Standard shows how developers can set a standard style for avoiding problems with data management strings, SQL injections, memory management, exceptions and many more. If you incorporate these standards into development life cycles you will discover vulnerabilities earlier while they cost less and are less difficult to address.</w:t>
      </w:r>
    </w:p>
    <w:p w:rsidR="00000000" w:rsidDel="00000000" w:rsidP="00000000" w:rsidRDefault="00000000" w:rsidRPr="00000000" w14:paraId="0000000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Automated tools like compilers, static analysis and security testing will take care of these requirements as part of a DevSecOps process. Organizational risk management also makes risk assessment essential; since they have limited time and resources, they cannot address all vulnerabilities to the same degree. Green Pace prioritizes its risk assessments based on severity likelihood cost to remediate, and the remediation priority; this enables significant serious, low cost vulnerabilities to be addressed first, and less serious issues dealt with in the future; this enables Green Pace to minimize development costs and improve security whist maintaining effective defense in depth techniques.</w:t>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Zero trust enhances the model by applying continuous security to users, applications, and systems without considering their location and without automatically trusting them'assumes no trust outside'3. Authentication/authorization/accounting reinforces the model through identity verification, access restriction with the principle of least privilege, and security activity tracking. The safeguarding mechanisms include encryption, input validation, monitoring, and integrity checks when access is established. Lastly, security policies have to be enforceable requirements not just documented rules.</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Green Pace should embed policies into the existing DevOps pipeline via automated policy checks, security testing, monitoring, and security gates. Established OS, firewall and anti malware logs should keep delivering detection and new tools should cover secure programming and application weaknesses. Policies should be also periodically reviewed and amended as new flaws, technologies and lessons learned from incidents are discovered.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