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ePortfolio I decided to improve an artifact from my second CS-340 project, a Python CRUD module that interfaces with a MongoDB database, along with a Jupyter Notebook dashboard that presents the data visually. I reexamined and refined these works to meet professional standards for my ePortfolio.</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this artifact as it showcases multiple essential software development abilities. The CRUD module demonstrates my approach to structuring code, maintaining modularity, distinguishing responsibilities, reusing elements, and hiding database operations behind clear interfaces. The dashboard displays application connections, interactive user experiences, and important data visuals.</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this, I concentrated on clarifying the code and easing maintenance by refining method responsibilities, correcting naming inconsistencies, enhancing error handling, and including useful documentation in the form of in-line comments. I modified the dashboard to clarify data access, interface design, and user interaction guidelines, establishing more distinct architectural boundaries</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improvements are closely linked to Module One's focus on developing software solutions based on solid engineering principles. Participating in this process improved my understanding of code that is clear, flexible, and sustainable. I gained a more profound insight into professional practices like thorough documentation, defensive programming, and modular design.</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greatest difficulty was improving the current framework without disrupting what was already effective. This involved thoroughly examining my initial design and implementing careful, gradual enhancements instead of hastily applying significant alterations. It demonstrated to me the significance of honoring existing features while striving for improved code quality, a balance that is vital in practical development when you frequently take over or revisit code that is already deployed.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