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mp(x) ^ q(y,z) -&gt; r(z)</w:t>
        <w:br w:type="textWrapping"/>
        <w:t xml:space="preserve">Body = left of the arrow</w:t>
        <w:br w:type="textWrapping"/>
        <w:t xml:space="preserve">Head = right of the arrow (a.k.a. result)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Herbrand </w:t>
      </w:r>
      <w:r w:rsidDel="00000000" w:rsidR="00000000" w:rsidRPr="00000000">
        <w:rPr>
          <w:i w:val="1"/>
          <w:rtl w:val="0"/>
        </w:rPr>
        <w:t xml:space="preserve">interpretation</w:t>
      </w:r>
      <w:r w:rsidDel="00000000" w:rsidR="00000000" w:rsidRPr="00000000">
        <w:rPr>
          <w:rtl w:val="0"/>
        </w:rPr>
        <w:t xml:space="preserve"> is simply a set of ground atoms over a Datalog program.  It </w:t>
      </w:r>
      <w:r w:rsidDel="00000000" w:rsidR="00000000" w:rsidRPr="00000000">
        <w:rPr>
          <w:u w:val="single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have to include all heads that result from firing rules.  The empty set is a valid Herbrand interpretation, as is just the list of facts.  It’s a trivial list of ground atoms.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Herbrand </w:t>
      </w:r>
      <w:r w:rsidDel="00000000" w:rsidR="00000000" w:rsidRPr="00000000">
        <w:rPr>
          <w:i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is a set of ground atoms over a Datalog program where the heads of each rule </w:t>
      </w:r>
      <w:r w:rsidDel="00000000" w:rsidR="00000000" w:rsidRPr="00000000">
        <w:rPr>
          <w:u w:val="single"/>
          <w:rtl w:val="0"/>
        </w:rPr>
        <w:t xml:space="preserve">must be in the set</w:t>
      </w:r>
      <w:r w:rsidDel="00000000" w:rsidR="00000000" w:rsidRPr="00000000">
        <w:rPr>
          <w:rtl w:val="0"/>
        </w:rPr>
        <w:t xml:space="preserve"> if the body predicates are in the set.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 is the set of all ground atoms (a.k.a. the Herbrand base)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Tp is the set of all heads (including the facts) created by firing the rules with a given set of inputs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A set I is a pre-fixed point of Tp if Tp is a subset of I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A set I is a fixed point of Tp if Tp = I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 can be generated iteratively on successive sets, beginning with the empty set until additional iterations do not increase the size of the set, which yields TP↑ω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pre-fixed point set:  Supply a list of atoms that, when fired, will result in a set smaller than the supplied list (i.e. add junk atoms that will not fire any rules)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fixed point set:  Supply a list of atoms that, when fired, will result in the exact same set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Herbrand-</w:t>
      </w:r>
      <w:r w:rsidDel="00000000" w:rsidR="00000000" w:rsidRPr="00000000">
        <w:rPr>
          <w:i w:val="1"/>
          <w:rtl w:val="0"/>
        </w:rPr>
        <w:t xml:space="preserve">entails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 atom/fact if we can use successive Tp↑ operations to derive that fact. In other words the atom in question is an element of Tp↑⍵. 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  <w:t xml:space="preserve">Information For Exam: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Tp up 0 always is null.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Tp up 1 are always the facts.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When dealing with finding Tp({r(a, d)}) as an example, you have all the facts and then what outputs that are accepted by the specific rule from the given list. 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Every prefix point is a herbert model. They are both identical. 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In class Examples For Exam Review: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Facts: p(a, b), p(b, c), q(r, a), p(d, d)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p(x, y) -&gt; r(x, y)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g(x, y) /\ g(y, z) -&gt; g(x, z)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200" w:lineRule="auto"/>
        <w:rPr/>
      </w:pPr>
      <w:bookmarkStart w:colFirst="0" w:colLast="0" w:name="_tsvey8w4ezbd" w:id="0"/>
      <w:bookmarkEnd w:id="0"/>
      <w:r w:rsidDel="00000000" w:rsidR="00000000" w:rsidRPr="00000000">
        <w:rPr>
          <w:rtl w:val="0"/>
        </w:rPr>
        <w:t xml:space="preserve">In-Class Review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Facts: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p(a,b)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p(b,c)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q(c,a)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p(d,d)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p(x,y) -&gt; q(x,y)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q(x,y) ^ q(y,z) -&gt; q(x,z)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q(x,y) -&gt; r(x,y)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r(x,y) -&gt; r(y,x)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r(x,x) -&gt; t(x,x)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Herbrand interpretations</w:t>
      </w:r>
      <w:r w:rsidDel="00000000" w:rsidR="00000000" w:rsidRPr="00000000">
        <w:rPr>
          <w:rtl w:val="0"/>
        </w:rPr>
        <w:t xml:space="preserve">: any set of ground atoms over the language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{ q(a,a) }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{ q(a,b), q(b,b), r(a,a) }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Empty set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Herbrand models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all facts must be in every Herbrand model.  Can be found by calculating Tp↑⍵.  Tp↑⍵ is the smallest possible Herbrand model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Bp (the set of all possible ground atoms in the language)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Tp↑⍵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Tp↑⍵ ∪ { r(d,d), r(d,a) }</w:t>
        <w:br w:type="textWrapping"/>
        <w:t xml:space="preserve">Adds r(d,d) because it’s not in the set and r(d,a) based on firing rule 4 with the new input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Herbrand-entails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In order to be Herbrand-entailed, the value must exist in Tp↑⍵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Does P Herbrand entail r(b,c) ?  Yes, because r(b,c) is in Tp↑⍵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Does P Herbrand entail r(a,d) ? No, because it’s not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Computing Tp: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Calculate Tp↑n one single time on the given input (i.e. one single round of the Tp↑⍵ calculation).  Tp always contains all the facts, plus rules that can be fired by the given input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Tp( { r(a,d) } ) = { p(a,b), p(b,c), q(c,a), p(d,d), r(d,a) }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Tp(Bp) { t(x), r(x,y), q(x,y), p(a,b), p(b,c), p(d,d) | x ∈ {a,b,c,d} }</w:t>
        <w:br w:type="textWrapping"/>
        <w:t xml:space="preserve">It’s the heads of every rule with every possible input</w:t>
        <w:br w:type="textWrapping"/>
        <w:t xml:space="preserve">In the example, we don’t get every possible p(x,y) because there are no rules that result in p(x,y). We just have p(a,b), p(b,c), and p(d,d) because they are facts</w:t>
      </w:r>
    </w:p>
    <w:p w:rsidR="00000000" w:rsidDel="00000000" w:rsidP="00000000" w:rsidRDefault="00000000" w:rsidRPr="00000000" w14:paraId="0000003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Pre-fixed points:</w:t>
      </w:r>
      <w:r w:rsidDel="00000000" w:rsidR="00000000" w:rsidRPr="00000000">
        <w:rPr>
          <w:rtl w:val="0"/>
        </w:rPr>
        <w:t xml:space="preserve"> Pre-fixed points are exactly the Herbrand models. Therefore, just give Herbrand models</w:t>
      </w:r>
    </w:p>
    <w:p w:rsidR="00000000" w:rsidDel="00000000" w:rsidP="00000000" w:rsidRDefault="00000000" w:rsidRPr="00000000" w14:paraId="0000003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Fixed points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Tp↑⍵ is always a fixed point, so just give that (Tp↑⍵ is actually both a fixed and pre-fixed point)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