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554480" cy="907309"/>
            <wp:docPr id="1" name="Picture 1"/>
            <wp:cNvGraphicFramePr>
              <a:graphicFrameLocks noChangeAspect="1"/>
            </wp:cNvGraphicFramePr>
            <a:graphic>
              <a:graphicData uri="http://schemas.openxmlformats.org/drawingml/2006/picture">
                <pic:pic>
                  <pic:nvPicPr>
                    <pic:cNvPr id="0" name="cph_logo.png"/>
                    <pic:cNvPicPr/>
                  </pic:nvPicPr>
                  <pic:blipFill>
                    <a:blip r:embed="rId9"/>
                    <a:stretch>
                      <a:fillRect/>
                    </a:stretch>
                  </pic:blipFill>
                  <pic:spPr>
                    <a:xfrm>
                      <a:off x="0" y="0"/>
                      <a:ext cx="1554480" cy="907309"/>
                    </a:xfrm>
                    <a:prstGeom prst="rect"/>
                  </pic:spPr>
                </pic:pic>
              </a:graphicData>
            </a:graphic>
          </wp:inline>
        </w:drawing>
      </w:r>
    </w:p>
    <w:p>
      <w:r>
        <w:rPr>
          <w:b/>
          <w:color w:val="A8821F"/>
          <w:sz w:val="30"/>
        </w:rPr>
        <w:t>CROWN PRINCE EVENT HALL — RENTAL AGREEMENT</w:t>
      </w:r>
    </w:p>
    <w:p>
      <w:pPr>
        <w:spacing w:after="80"/>
      </w:pPr>
      <w:r>
        <w:rPr>
          <w:b w:val="0"/>
          <w:i w:val="0"/>
          <w:color w:val="6B7280"/>
          <w:sz w:val="18"/>
        </w:rPr>
        <w:t>1654 Burdette Dr, San Jose, CA 95121 · (408) 408-1654 · crownprincehall@gmail.com   |   Booking ref: [CPH-____]</w:t>
      </w:r>
    </w:p>
    <w:p>
      <w:pPr>
        <w:spacing w:after="80"/>
      </w:pPr>
      <w:r>
        <w:rPr>
          <w:b w:val="0"/>
          <w:i w:val="0"/>
          <w:sz w:val="19"/>
        </w:rPr>
        <w:t>This Agreement is entered into by and between Crown Prince Hall Corporation (CA Entity No. B20260164272), d/b/a Crown Prince Event Hall (“Venue”), and the undersigned client (“Client”) as of the signature date below. It is not a lease and creates no tenancy.</w:t>
      </w:r>
    </w:p>
    <w:p>
      <w:pPr>
        <w:spacing w:after="120"/>
        <w:jc w:val="center"/>
      </w:pPr>
      <w:r>
        <w:rPr>
          <w:b/>
          <w:color w:val="B4232A"/>
          <w:sz w:val="19"/>
        </w:rPr>
        <w:t>PROPOSED DRAFT — FOR MANAGEMENT REVIEW AND CALIFORNIA LEGAL COUNSEL REVIEW — NOT APPROVED FOR CLIENT USE</w:t>
      </w:r>
    </w:p>
    <w:p>
      <w:pPr>
        <w:spacing w:before="160" w:after="40"/>
      </w:pPr>
      <w:r>
        <w:rPr>
          <w:b/>
          <w:color w:val="22314D"/>
          <w:sz w:val="25"/>
        </w:rPr>
        <w:t>Event Details</w:t>
      </w:r>
    </w:p>
    <w:p>
      <w:pPr>
        <w:spacing w:after="40"/>
      </w:pPr>
      <w:r>
        <w:rPr>
          <w:b/>
          <w:sz w:val="19"/>
        </w:rPr>
        <w:t xml:space="preserve">Event date: </w:t>
      </w:r>
      <w:r>
        <w:rPr>
          <w:sz w:val="19"/>
        </w:rPr>
        <w:t>______________________________________________</w:t>
      </w:r>
    </w:p>
    <w:p>
      <w:pPr>
        <w:spacing w:after="40"/>
      </w:pPr>
      <w:r>
        <w:rPr>
          <w:b/>
          <w:sz w:val="19"/>
        </w:rPr>
        <w:t xml:space="preserve">Event type: </w:t>
      </w:r>
      <w:r>
        <w:rPr>
          <w:sz w:val="19"/>
        </w:rPr>
        <w:t>______________________________________________</w:t>
      </w:r>
    </w:p>
    <w:p>
      <w:pPr>
        <w:spacing w:after="40"/>
      </w:pPr>
      <w:r>
        <w:rPr>
          <w:b/>
          <w:sz w:val="19"/>
        </w:rPr>
        <w:t xml:space="preserve">Set-up time: </w:t>
      </w:r>
      <w:r>
        <w:rPr>
          <w:sz w:val="19"/>
        </w:rPr>
        <w:t>______________________________________________</w:t>
      </w:r>
    </w:p>
    <w:p>
      <w:pPr>
        <w:spacing w:after="40"/>
      </w:pPr>
      <w:r>
        <w:rPr>
          <w:b/>
          <w:sz w:val="19"/>
        </w:rPr>
        <w:t xml:space="preserve">Event time: </w:t>
      </w:r>
      <w:r>
        <w:rPr>
          <w:sz w:val="19"/>
        </w:rPr>
        <w:t>______________________________________________</w:t>
      </w:r>
    </w:p>
    <w:p>
      <w:pPr>
        <w:spacing w:after="40"/>
      </w:pPr>
      <w:r>
        <w:rPr>
          <w:b/>
          <w:sz w:val="19"/>
        </w:rPr>
        <w:t xml:space="preserve">Load-out: </w:t>
      </w:r>
      <w:r>
        <w:rPr>
          <w:sz w:val="19"/>
        </w:rPr>
        <w:t>______________________________________________</w:t>
      </w:r>
    </w:p>
    <w:p>
      <w:pPr>
        <w:spacing w:after="40"/>
      </w:pPr>
      <w:r>
        <w:rPr>
          <w:b/>
          <w:sz w:val="19"/>
        </w:rPr>
        <w:t xml:space="preserve">Client name: </w:t>
      </w:r>
      <w:r>
        <w:rPr>
          <w:sz w:val="19"/>
        </w:rPr>
        <w:t>______________________________________________</w:t>
      </w:r>
    </w:p>
    <w:p>
      <w:pPr>
        <w:spacing w:after="40"/>
      </w:pPr>
      <w:r>
        <w:rPr>
          <w:b/>
          <w:sz w:val="19"/>
        </w:rPr>
        <w:t xml:space="preserve">Phone: </w:t>
      </w:r>
      <w:r>
        <w:rPr>
          <w:sz w:val="19"/>
        </w:rPr>
        <w:t>______________________________________________</w:t>
      </w:r>
    </w:p>
    <w:p>
      <w:pPr>
        <w:spacing w:after="40"/>
      </w:pPr>
      <w:r>
        <w:rPr>
          <w:b/>
          <w:sz w:val="19"/>
        </w:rPr>
        <w:t xml:space="preserve">Email: </w:t>
      </w:r>
      <w:r>
        <w:rPr>
          <w:sz w:val="19"/>
        </w:rPr>
        <w:t>______________________________________________</w:t>
      </w:r>
    </w:p>
    <w:p>
      <w:pPr>
        <w:spacing w:after="40"/>
      </w:pPr>
      <w:r>
        <w:rPr>
          <w:b/>
          <w:sz w:val="19"/>
        </w:rPr>
        <w:t xml:space="preserve">Expected guests: </w:t>
      </w:r>
      <w:r>
        <w:rPr>
          <w:sz w:val="19"/>
        </w:rPr>
        <w:t>______________________________________________</w:t>
      </w:r>
    </w:p>
    <w:p>
      <w:pPr>
        <w:spacing w:after="40"/>
      </w:pPr>
      <w:r>
        <w:rPr>
          <w:b/>
          <w:sz w:val="19"/>
        </w:rPr>
        <w:t xml:space="preserve">Legal occupancy: </w:t>
      </w:r>
      <w:r>
        <w:rPr>
          <w:sz w:val="19"/>
        </w:rPr>
        <w:t>______________________________________________</w:t>
      </w:r>
    </w:p>
    <w:p>
      <w:pPr>
        <w:spacing w:after="40"/>
      </w:pPr>
      <w:r>
        <w:rPr>
          <w:b/>
          <w:sz w:val="19"/>
        </w:rPr>
        <w:t xml:space="preserve">Music/amplified sound ends by: </w:t>
      </w:r>
      <w:r>
        <w:rPr>
          <w:sz w:val="19"/>
        </w:rPr>
        <w:t>______________________________________________</w:t>
      </w:r>
    </w:p>
    <w:p>
      <w:pPr>
        <w:spacing w:after="80"/>
      </w:pPr>
      <w:r>
        <w:rPr>
          <w:b w:val="0"/>
          <w:i w:val="0"/>
          <w:sz w:val="19"/>
        </w:rPr>
        <w:t>Approved areas:  [ ] Indoor only   [ ] Other: ________</w:t>
      </w:r>
    </w:p>
    <w:p>
      <w:pPr>
        <w:spacing w:before="160" w:after="40"/>
      </w:pPr>
      <w:r>
        <w:rPr>
          <w:b/>
          <w:color w:val="22314D"/>
          <w:sz w:val="25"/>
        </w:rPr>
        <w:t>1. Assumption of Risk  (Client initials: ____)</w:t>
      </w:r>
    </w:p>
    <w:p>
      <w:pPr>
        <w:spacing w:after="80"/>
      </w:pPr>
      <w:r>
        <w:rPr>
          <w:b w:val="0"/>
          <w:i w:val="0"/>
          <w:sz w:val="20"/>
        </w:rPr>
        <w:t>Client understands that events may involve dancing, food, alcohol if approved, vendors, entertainment, equipment, loading, sound, lighting and social activity. Client voluntarily assumes the ordinary risks connected to the event, Client’s guests and Client’s vendors, and is responsible for supervising minors.</w:t>
      </w:r>
    </w:p>
    <w:p>
      <w:pPr>
        <w:spacing w:before="160" w:after="40"/>
      </w:pPr>
      <w:r>
        <w:rPr>
          <w:b/>
          <w:color w:val="22314D"/>
          <w:sz w:val="25"/>
        </w:rPr>
        <w:t>2. Release of Liability  (Client initials: ____)</w:t>
      </w:r>
    </w:p>
    <w:p>
      <w:pPr>
        <w:spacing w:after="80"/>
      </w:pPr>
      <w:r>
        <w:rPr>
          <w:b w:val="0"/>
          <w:i w:val="0"/>
          <w:sz w:val="20"/>
        </w:rPr>
        <w:t xml:space="preserve">To the fullest extent permitted by law, Client releases Venue, its owners, managers, employees, agents, contractors, landlord and affiliates from claims arising from the event — including claims Client does not know about at signing. Client waives California Civil Code § 1542 (unknown claims). This release does not apply to gross negligence or willful misconduct by Venue, or to any right that cannot be waived by law. </w:t>
      </w:r>
      <w:r>
        <w:rPr>
          <w:b/>
          <w:i w:val="0"/>
          <w:color w:val="8A4009"/>
          <w:sz w:val="17"/>
          <w:highlight w:val="yellow"/>
        </w:rPr>
        <w:t>[CALIFORNIA LEGAL COUNSEL REVIEW REQUIRED]</w:t>
      </w:r>
    </w:p>
    <w:p>
      <w:pPr>
        <w:spacing w:before="160" w:after="40"/>
      </w:pPr>
      <w:r>
        <w:rPr>
          <w:b/>
          <w:color w:val="22314D"/>
          <w:sz w:val="25"/>
        </w:rPr>
        <w:t>3. Indemnification  (Client initials: ____)</w:t>
      </w:r>
    </w:p>
    <w:p>
      <w:pPr>
        <w:spacing w:after="80"/>
      </w:pPr>
      <w:r>
        <w:rPr>
          <w:b w:val="0"/>
          <w:i w:val="0"/>
          <w:sz w:val="20"/>
        </w:rPr>
        <w:t>Client will defend and indemnify Venue, its representatives and its landlord from claims, losses, damages, injuries, fines, costs and attorney fees caused by Client, guests, vendors, invitees or Client’s breach of this Agreement.</w:t>
      </w:r>
    </w:p>
    <w:p>
      <w:pPr>
        <w:spacing w:before="160" w:after="40"/>
      </w:pPr>
      <w:r>
        <w:rPr>
          <w:b/>
          <w:color w:val="22314D"/>
          <w:sz w:val="25"/>
        </w:rPr>
        <w:t>4. Compliance with Laws and Venue Policies  (Client initials: ____)</w:t>
      </w:r>
    </w:p>
    <w:p>
      <w:pPr>
        <w:pStyle w:val="ListBullet"/>
        <w:spacing w:after="40"/>
      </w:pPr>
      <w:r>
        <w:rPr>
          <w:sz w:val="19"/>
        </w:rPr>
        <w:t>No smoking or vaping indoors; permitted only in the designated outdoor area; no cannabis on the property.</w:t>
      </w:r>
    </w:p>
    <w:p>
      <w:pPr>
        <w:pStyle w:val="ListBullet"/>
        <w:spacing w:after="40"/>
      </w:pPr>
      <w:r>
        <w:rPr>
          <w:sz w:val="19"/>
        </w:rPr>
        <w:t>No illegal drugs, weapons, fighting, harassment, unsafe conduct or blocked exits.</w:t>
      </w:r>
    </w:p>
    <w:p>
      <w:pPr>
        <w:pStyle w:val="ListBullet"/>
        <w:spacing w:after="40"/>
      </w:pPr>
      <w:r>
        <w:rPr>
          <w:sz w:val="19"/>
        </w:rPr>
        <w:t>No gambling, betting or wagering anywhere on the property.</w:t>
      </w:r>
    </w:p>
    <w:p>
      <w:pPr>
        <w:pStyle w:val="ListBullet"/>
        <w:spacing w:after="40"/>
      </w:pPr>
      <w:r>
        <w:rPr>
          <w:sz w:val="19"/>
        </w:rPr>
        <w:t>No fireworks/sparklers/pyrotechnics; no open flames, candles, fog, haze, glitter or confetti without written approval.</w:t>
      </w:r>
    </w:p>
    <w:p>
      <w:pPr>
        <w:pStyle w:val="ListBullet"/>
        <w:spacing w:after="40"/>
      </w:pPr>
      <w:r>
        <w:rPr>
          <w:sz w:val="19"/>
        </w:rPr>
        <w:t>No pets except service animals required by law.</w:t>
      </w:r>
    </w:p>
    <w:p>
      <w:pPr>
        <w:pStyle w:val="ListBullet"/>
        <w:spacing w:after="40"/>
      </w:pPr>
      <w:r>
        <w:rPr>
          <w:sz w:val="19"/>
        </w:rPr>
        <w:t>Do not tamper with alarms, cameras, smoke detectors, sprinklers, climate controls, AV, security or fire equipment.</w:t>
      </w:r>
    </w:p>
    <w:p>
      <w:pPr>
        <w:pStyle w:val="ListBullet"/>
        <w:spacing w:after="40"/>
      </w:pPr>
      <w:r>
        <w:rPr>
          <w:sz w:val="19"/>
        </w:rPr>
        <w:t>Nothing attached to walls, ceilings, floors or fixtures without written approval.</w:t>
      </w:r>
    </w:p>
    <w:p>
      <w:pPr>
        <w:spacing w:before="160" w:after="40"/>
      </w:pPr>
      <w:r>
        <w:rPr>
          <w:b/>
          <w:color w:val="22314D"/>
          <w:sz w:val="25"/>
        </w:rPr>
        <w:t>5. Alcohol Policy  (Client initials: ____)</w:t>
      </w:r>
    </w:p>
    <w:p>
      <w:pPr>
        <w:spacing w:after="80"/>
      </w:pPr>
      <w:r>
        <w:rPr>
          <w:b w:val="0"/>
          <w:i w:val="0"/>
          <w:sz w:val="20"/>
        </w:rPr>
        <w:t>Alcohol is allowed only with Venue’s written approval. Venue does not sell, furnish or serve alcohol unless a signed add-on says otherwise. Client is responsible for lawful service — no service to minors or visibly intoxicated persons, licensed/authorized servers where required; drinking only in approved areas, never in the parking lot.</w:t>
      </w:r>
    </w:p>
    <w:p>
      <w:pPr>
        <w:pStyle w:val="ListBullet"/>
        <w:spacing w:after="40"/>
      </w:pPr>
      <w:r>
        <w:rPr>
          <w:sz w:val="19"/>
        </w:rPr>
        <w:t xml:space="preserve">No sale, cash bar, donations or ticketed drinks unless Client’s caterer holds a valid California ABC catering license for the date and gives Venue a copy at least 10 days before. </w:t>
      </w:r>
      <w:r>
        <w:rPr>
          <w:b/>
          <w:color w:val="8A4009"/>
          <w:sz w:val="16"/>
          <w:highlight w:val="yellow"/>
        </w:rPr>
        <w:t>[CALIFORNIA LEGAL COUNSEL REVIEW REQUIRED]</w:t>
      </w:r>
    </w:p>
    <w:p>
      <w:pPr>
        <w:pStyle w:val="ListBullet"/>
        <w:spacing w:after="40"/>
      </w:pPr>
      <w:r>
        <w:rPr>
          <w:sz w:val="19"/>
        </w:rPr>
        <w:t xml:space="preserve">Where alcohol is served, licensed security of one guard per 75 guests, minimum two. </w:t>
      </w:r>
      <w:r>
        <w:rPr>
          <w:b/>
          <w:color w:val="8A4009"/>
          <w:sz w:val="16"/>
          <w:highlight w:val="yellow"/>
        </w:rPr>
        <w:t>[VERIFY WITH SOURCE DOCUMENT]</w:t>
      </w:r>
    </w:p>
    <w:p>
      <w:pPr>
        <w:pStyle w:val="ListBullet"/>
        <w:spacing w:after="40"/>
      </w:pPr>
      <w:r>
        <w:rPr>
          <w:sz w:val="19"/>
        </w:rPr>
        <w:t>If alcohol rules are violated, Venue may stop service or end the event without refund.</w:t>
      </w:r>
    </w:p>
    <w:p>
      <w:pPr>
        <w:spacing w:before="160" w:after="40"/>
      </w:pPr>
      <w:r>
        <w:rPr>
          <w:b/>
          <w:color w:val="22314D"/>
          <w:sz w:val="25"/>
        </w:rPr>
        <w:t>6. Food, Vendors, and Production</w:t>
      </w:r>
    </w:p>
    <w:p>
      <w:pPr>
        <w:spacing w:after="80"/>
      </w:pPr>
      <w:r>
        <w:rPr>
          <w:b w:val="0"/>
          <w:i w:val="0"/>
          <w:sz w:val="20"/>
        </w:rPr>
        <w:t>Food, caterers, food trucks, DJs, performers, rentals, décor, production and outside equipment must be disclosed and approved before the event.</w:t>
      </w:r>
    </w:p>
    <w:p>
      <w:pPr>
        <w:pStyle w:val="ListBullet"/>
        <w:spacing w:after="40"/>
      </w:pPr>
      <w:r>
        <w:rPr>
          <w:sz w:val="19"/>
        </w:rPr>
        <w:t>Caterers/food trucks must hold a current Santa Clara County health permit (copy at least 10 days before).</w:t>
      </w:r>
    </w:p>
    <w:p>
      <w:pPr>
        <w:pStyle w:val="ListBullet"/>
        <w:spacing w:after="40"/>
      </w:pPr>
      <w:r>
        <w:rPr>
          <w:sz w:val="19"/>
        </w:rPr>
        <w:t>Every vendor must carry liability insurance and provide a certificate at least 30 days before. Client is responsible for its vendors.</w:t>
      </w:r>
    </w:p>
    <w:p>
      <w:pPr>
        <w:pStyle w:val="ListBullet"/>
        <w:spacing w:after="40"/>
      </w:pPr>
      <w:r>
        <w:rPr>
          <w:sz w:val="19"/>
        </w:rPr>
        <w:t xml:space="preserve">Venue does not accept, store or secure deliveries. </w:t>
      </w:r>
      <w:r>
        <w:rPr>
          <w:b/>
          <w:color w:val="8A4009"/>
          <w:sz w:val="16"/>
          <w:highlight w:val="yellow"/>
        </w:rPr>
        <w:t>[VERIFY WITH SOURCE DOCUMENT]</w:t>
      </w:r>
    </w:p>
    <w:p>
      <w:pPr>
        <w:spacing w:before="160" w:after="40"/>
      </w:pPr>
      <w:r>
        <w:rPr>
          <w:b/>
          <w:color w:val="22314D"/>
          <w:sz w:val="25"/>
        </w:rPr>
        <w:t>7. Access, Capacity, Noise, and Overtime</w:t>
      </w:r>
    </w:p>
    <w:p>
      <w:pPr>
        <w:pStyle w:val="ListBullet"/>
        <w:spacing w:after="40"/>
      </w:pPr>
      <w:r>
        <w:rPr>
          <w:sz w:val="19"/>
        </w:rPr>
        <w:t xml:space="preserve">Booked time includes load-in, setup, event, cleanup, breakdown and load-out; a 6-hour event window plus 2 complimentary setup hours. </w:t>
      </w:r>
      <w:r>
        <w:rPr>
          <w:b/>
          <w:color w:val="8A4009"/>
          <w:sz w:val="16"/>
          <w:highlight w:val="yellow"/>
        </w:rPr>
        <w:t>[MANAGEMENT CONFIRMATION REQUIRED — align contract wording with rate card/site]</w:t>
      </w:r>
    </w:p>
    <w:p>
      <w:pPr>
        <w:pStyle w:val="ListBullet"/>
        <w:spacing w:after="40"/>
      </w:pPr>
      <w:r>
        <w:rPr>
          <w:sz w:val="19"/>
        </w:rPr>
        <w:t xml:space="preserve">No early access or late stay without written approval. Overtime is billed at [$____] per hour or part; if no rate is stated, 1.5× the hourly rental rate. </w:t>
      </w:r>
      <w:r>
        <w:rPr>
          <w:b/>
          <w:color w:val="8A4009"/>
          <w:sz w:val="16"/>
          <w:highlight w:val="yellow"/>
        </w:rPr>
        <w:t>[MANAGEMENT CONFIRMATION REQUIRED — rate, increment, grace]</w:t>
      </w:r>
    </w:p>
    <w:p>
      <w:pPr>
        <w:pStyle w:val="ListBullet"/>
        <w:spacing w:after="40"/>
      </w:pPr>
      <w:r>
        <w:rPr>
          <w:sz w:val="19"/>
        </w:rPr>
        <w:t>Guest count may not exceed legal occupancy or Venue-approved capacity, whichever is lower.</w:t>
      </w:r>
    </w:p>
    <w:p>
      <w:pPr>
        <w:pStyle w:val="ListBullet"/>
        <w:spacing w:after="40"/>
      </w:pPr>
      <w:r>
        <w:rPr>
          <w:sz w:val="19"/>
        </w:rPr>
        <w:t>Music/amplified sound stays indoors and ends at the listed time or 12:00 a.m.; outdoor sound needs written approval; City of San Jose noise rules apply.</w:t>
      </w:r>
    </w:p>
    <w:p>
      <w:pPr>
        <w:spacing w:before="160" w:after="40"/>
      </w:pPr>
      <w:r>
        <w:rPr>
          <w:b/>
          <w:color w:val="22314D"/>
          <w:sz w:val="25"/>
        </w:rPr>
        <w:t>8. Damages</w:t>
      </w:r>
    </w:p>
    <w:p>
      <w:pPr>
        <w:spacing w:after="80"/>
      </w:pPr>
      <w:r>
        <w:rPr>
          <w:b w:val="0"/>
          <w:i w:val="0"/>
          <w:sz w:val="20"/>
        </w:rPr>
        <w:t xml:space="preserve">Client is responsible for damage, stains, spills, missing items, clogged plumbing, excessive cleaning, trash, overtime, unpaid charges, fines and property loss caused by Client, guests, vendors or invitees. Venue may deduct documented amounts from any security deposit held or invoice the Client, and will send an itemized statement within 14 days after the event; any security deposit is security only and does not limit what Client owes. Venue is not responsible for lost or stolen property. </w:t>
      </w:r>
      <w:r>
        <w:rPr>
          <w:b/>
          <w:i w:val="0"/>
          <w:color w:val="8A4009"/>
          <w:sz w:val="17"/>
          <w:highlight w:val="yellow"/>
        </w:rPr>
        <w:t>[MANAGEMENT CONFIRMATION REQUIRED — the reservation deposit is credited to rent and is NOT a security deposit; confirm whether a separate security/damage deposit is collected]</w:t>
      </w:r>
    </w:p>
    <w:p>
      <w:pPr>
        <w:spacing w:before="160" w:after="40"/>
      </w:pPr>
      <w:r>
        <w:rPr>
          <w:b/>
          <w:color w:val="22314D"/>
          <w:sz w:val="25"/>
        </w:rPr>
        <w:t>9. Right to Terminate Event for Safety and Compliance  (Client initials: ____)</w:t>
      </w:r>
    </w:p>
    <w:p>
      <w:pPr>
        <w:spacing w:after="80"/>
      </w:pPr>
      <w:r>
        <w:rPr>
          <w:b w:val="0"/>
          <w:i w:val="0"/>
          <w:sz w:val="20"/>
        </w:rPr>
        <w:t xml:space="preserve">Venue, security, police, fire officials or authorities may deny entry, remove persons, stop alcohol service, reduce sound, close areas, suspend or end the event for safety, compliance, property protection, non-payment, illegal activity, intoxication, violence, damage, capacity or material breach. If ended for breach, no refund is owed. </w:t>
      </w:r>
      <w:r>
        <w:rPr>
          <w:b/>
          <w:i w:val="0"/>
          <w:color w:val="8A4009"/>
          <w:sz w:val="17"/>
          <w:highlight w:val="yellow"/>
        </w:rPr>
        <w:t>[CALIFORNIA LEGAL COUNSEL REVIEW REQUIRED — proportionality]</w:t>
      </w:r>
    </w:p>
    <w:p>
      <w:pPr>
        <w:spacing w:before="160" w:after="40"/>
      </w:pPr>
      <w:r>
        <w:rPr>
          <w:b/>
          <w:color w:val="22314D"/>
          <w:sz w:val="25"/>
        </w:rPr>
        <w:t>10. Photo / Video Release</w:t>
      </w:r>
    </w:p>
    <w:p>
      <w:pPr>
        <w:spacing w:after="80"/>
      </w:pPr>
      <w:r>
        <w:rPr>
          <w:b w:val="0"/>
          <w:i w:val="0"/>
          <w:sz w:val="20"/>
        </w:rPr>
        <w:t>Any marketing use is limited to non-identifying images of room setups, décor and atmosphere; no image identifying a guest, family member or staff is published without written consent.  [ ] I authorize marketing use.  [ ] I do NOT authorize marketing use.  If neither is checked, Venue will not use images for marketing. This does not restrict security footage, incident documentation or legally required records.</w:t>
      </w:r>
    </w:p>
    <w:p>
      <w:pPr>
        <w:spacing w:before="160" w:after="40"/>
      </w:pPr>
      <w:r>
        <w:rPr>
          <w:b/>
          <w:color w:val="22314D"/>
          <w:sz w:val="25"/>
        </w:rPr>
        <w:t>11. Quote, Payment, Cancellation &amp; Refund  (Client initials: ____)</w:t>
      </w:r>
    </w:p>
    <w:p>
      <w:pPr>
        <w:spacing w:after="80"/>
      </w:pPr>
      <w:r>
        <w:rPr>
          <w:b w:val="0"/>
          <w:i w:val="0"/>
          <w:sz w:val="20"/>
        </w:rPr>
        <w:t>The signed quote, invoice or booking summary is incorporated. A booking is confirmed only after Venue receives the signed Agreement and the initial reservation deposit of $1,000. Changes require Venue’s written approval.</w:t>
      </w:r>
    </w:p>
    <w:p>
      <w:pPr>
        <w:spacing w:after="80"/>
      </w:pPr>
      <w:r>
        <w:rPr>
          <w:b w:val="0"/>
          <w:i w:val="0"/>
          <w:sz w:val="20"/>
        </w:rPr>
        <w:t>Initial reservation deposit — credited to rent. The $1,000 deposit secures your event date and is credited toward the total rental amount in the approved quotation. It is not an additional charge; it is deducted from the total due in the payment summary below. It is not a security deposit and does not convert into one.</w:t>
      </w:r>
    </w:p>
    <w:p>
      <w:pPr>
        <w:spacing w:after="80"/>
      </w:pPr>
      <w:r>
        <w:rPr>
          <w:b w:val="0"/>
          <w:i w:val="0"/>
          <w:sz w:val="20"/>
        </w:rPr>
        <w:t>Cancellation of the reservation deposit. Cancellation must be in writing and takes effect when Venue receives it. The 14-day period begins on the date the deposit is paid.</w:t>
      </w:r>
    </w:p>
    <w:p>
      <w:pPr>
        <w:pStyle w:val="ListBullet"/>
        <w:spacing w:after="40"/>
      </w:pPr>
      <w:r>
        <w:rPr>
          <w:sz w:val="19"/>
        </w:rPr>
        <w:t>Within the first 14 calendar days: full refund of the $1,000 deposit ($1,000 refunded).</w:t>
      </w:r>
    </w:p>
    <w:p>
      <w:pPr>
        <w:pStyle w:val="ListBullet"/>
        <w:spacing w:after="40"/>
      </w:pPr>
      <w:r>
        <w:rPr>
          <w:sz w:val="19"/>
        </w:rPr>
        <w:t xml:space="preserve">After the first 14 calendar days: 20% of the deposit is refunded ($200) and Venue retains 80% ($800), subject to the final approved agreement and applicable law. </w:t>
      </w:r>
      <w:r>
        <w:rPr>
          <w:b/>
          <w:color w:val="8A4009"/>
          <w:sz w:val="16"/>
          <w:highlight w:val="yellow"/>
        </w:rPr>
        <w:t>[CALIFORNIA LEGAL COUNSEL REVIEW REQUIRED — liquidated damages, Civ. Code §1671]</w:t>
      </w:r>
    </w:p>
    <w:p>
      <w:pPr>
        <w:spacing w:after="80"/>
      </w:pPr>
      <w:r>
        <w:rPr>
          <w:b w:val="0"/>
          <w:i w:val="0"/>
          <w:sz w:val="20"/>
        </w:rPr>
        <w:t xml:space="preserve">Additional payments. The treatment on cancellation of any payments beyond the initial reservation deposit is not set in this draft. </w:t>
      </w:r>
      <w:r>
        <w:rPr>
          <w:b/>
          <w:i w:val="0"/>
          <w:color w:val="8A4009"/>
          <w:sz w:val="17"/>
          <w:highlight w:val="yellow"/>
        </w:rPr>
        <w:t>[MANAGEMENT CONFIRMATION REQUIRED]</w:t>
      </w:r>
      <w:r>
        <w:rPr>
          <w:b w:val="0"/>
          <w:i w:val="0"/>
          <w:sz w:val="20"/>
        </w:rPr>
        <w:t xml:space="preserve"> </w:t>
      </w:r>
      <w:r>
        <w:rPr>
          <w:b/>
          <w:i w:val="0"/>
          <w:color w:val="8A4009"/>
          <w:sz w:val="17"/>
          <w:highlight w:val="yellow"/>
        </w:rPr>
        <w:t>[CALIFORNIA LEGAL COUNSEL REVIEW REQUIRED]</w:t>
      </w:r>
    </w:p>
    <w:p>
      <w:pPr>
        <w:spacing w:after="80"/>
      </w:pPr>
      <w:r>
        <w:rPr>
          <w:b w:val="0"/>
          <w:i w:val="0"/>
          <w:sz w:val="20"/>
        </w:rPr>
        <w:t xml:space="preserve">Refund processing &amp; accounting. Refund timing is not a binding deadline until approved </w:t>
      </w:r>
      <w:r>
        <w:rPr>
          <w:b/>
          <w:i w:val="0"/>
          <w:color w:val="8A4009"/>
          <w:sz w:val="17"/>
          <w:highlight w:val="yellow"/>
        </w:rPr>
        <w:t>[MANAGEMENT CONFIRMATION REQUIRED]</w:t>
      </w:r>
      <w:r>
        <w:rPr>
          <w:b w:val="0"/>
          <w:i w:val="0"/>
          <w:sz w:val="20"/>
        </w:rPr>
        <w:t>. Every cancellation is reviewed individually to confirm payments received, refunds already issued, remaining refund obligations and amounts retained; retained amounts are not automatically classified as profit.</w:t>
      </w:r>
    </w:p>
    <w:p>
      <w:pPr>
        <w:spacing w:after="80"/>
      </w:pPr>
      <w:r>
        <w:rPr>
          <w:b w:val="0"/>
          <w:i w:val="0"/>
          <w:sz w:val="20"/>
        </w:rPr>
        <w:t xml:space="preserve">Rescheduling / date change. Terms not set in this draft. </w:t>
      </w:r>
      <w:r>
        <w:rPr>
          <w:b/>
          <w:i w:val="0"/>
          <w:color w:val="8A4009"/>
          <w:sz w:val="17"/>
          <w:highlight w:val="yellow"/>
        </w:rPr>
        <w:t>[MANAGEMENT CONFIRMATION REQUIRED]</w:t>
      </w:r>
    </w:p>
    <w:p>
      <w:pPr>
        <w:spacing w:after="80"/>
      </w:pPr>
      <w:r>
        <w:rPr>
          <w:b w:val="0"/>
          <w:i w:val="0"/>
          <w:sz w:val="20"/>
        </w:rPr>
        <w:t xml:space="preserve">Late or failed payment may cancel the booking. Overdue amounts: [flat late fee — not set]. </w:t>
      </w:r>
      <w:r>
        <w:rPr>
          <w:b/>
          <w:i w:val="0"/>
          <w:color w:val="8A4009"/>
          <w:sz w:val="17"/>
          <w:highlight w:val="yellow"/>
        </w:rPr>
        <w:t>[MANAGEMENT CONFIRMATION REQUIRED]</w:t>
      </w:r>
      <w:r>
        <w:rPr>
          <w:b w:val="0"/>
          <w:i w:val="0"/>
          <w:sz w:val="20"/>
        </w:rPr>
        <w:t xml:space="preserve"> </w:t>
      </w:r>
      <w:r>
        <w:rPr>
          <w:b/>
          <w:i w:val="0"/>
          <w:color w:val="8A4009"/>
          <w:sz w:val="17"/>
          <w:highlight w:val="yellow"/>
        </w:rPr>
        <w:t>[CALIFORNIA LEGAL COUNSEL REVIEW REQUIRED — replace 1%/month interest]</w:t>
      </w:r>
      <w:r>
        <w:rPr>
          <w:b w:val="0"/>
          <w:i w:val="0"/>
          <w:sz w:val="20"/>
        </w:rPr>
        <w:t xml:space="preserve"> Returned check/transfer: $25 first, $35 after. </w:t>
      </w:r>
      <w:r>
        <w:rPr>
          <w:b/>
          <w:i w:val="0"/>
          <w:color w:val="8A4009"/>
          <w:sz w:val="17"/>
          <w:highlight w:val="yellow"/>
        </w:rPr>
        <w:t>[CALIFORNIA LEGAL COUNSEL REVIEW REQUIRED — remove the no-dispute clause; add a dispute-first process]</w:t>
      </w:r>
    </w:p>
    <w:tbl>
      <w:tblPr>
        <w:tblStyle w:val="TableGrid"/>
        <w:tblW w:type="auto" w:w="0"/>
        <w:tblLook w:firstColumn="1" w:firstRow="1" w:lastColumn="0" w:lastRow="0" w:noHBand="0" w:noVBand="1" w:val="04A0"/>
      </w:tblPr>
      <w:tblGrid>
        <w:gridCol w:w="4320"/>
        <w:gridCol w:w="4320"/>
      </w:tblGrid>
      <w:tr>
        <w:tc>
          <w:tcPr>
            <w:tcW w:type="dxa" w:w="4320"/>
          </w:tcPr>
          <w:p>
            <w:r>
              <w:rPr>
                <w:b w:val="0"/>
                <w:sz w:val="18"/>
              </w:rPr>
              <w:t>Quoted venue rental</w:t>
            </w:r>
          </w:p>
        </w:tc>
        <w:tc>
          <w:tcPr>
            <w:tcW w:type="dxa" w:w="4320"/>
          </w:tcPr>
          <w:p>
            <w:pPr>
              <w:jc w:val="right"/>
            </w:pPr>
            <w:r>
              <w:rPr>
                <w:b w:val="0"/>
                <w:sz w:val="18"/>
              </w:rPr>
              <w:t>$ [____]</w:t>
            </w:r>
          </w:p>
        </w:tc>
      </w:tr>
      <w:tr>
        <w:tc>
          <w:tcPr>
            <w:tcW w:type="dxa" w:w="4320"/>
          </w:tcPr>
          <w:p>
            <w:r>
              <w:rPr>
                <w:b w:val="0"/>
                <w:sz w:val="18"/>
              </w:rPr>
              <w:t>Cleaning fee</w:t>
            </w:r>
          </w:p>
        </w:tc>
        <w:tc>
          <w:tcPr>
            <w:tcW w:type="dxa" w:w="4320"/>
          </w:tcPr>
          <w:p>
            <w:pPr>
              <w:jc w:val="right"/>
            </w:pPr>
            <w:r>
              <w:rPr>
                <w:b w:val="0"/>
                <w:sz w:val="18"/>
              </w:rPr>
              <w:t>$ 480.00</w:t>
            </w:r>
          </w:p>
        </w:tc>
      </w:tr>
      <w:tr>
        <w:tc>
          <w:tcPr>
            <w:tcW w:type="dxa" w:w="4320"/>
          </w:tcPr>
          <w:p>
            <w:r>
              <w:rPr>
                <w:b w:val="0"/>
                <w:sz w:val="18"/>
              </w:rPr>
              <w:t>Security: $ ____ / hr × ____ hrs</w:t>
            </w:r>
          </w:p>
        </w:tc>
        <w:tc>
          <w:tcPr>
            <w:tcW w:type="dxa" w:w="4320"/>
          </w:tcPr>
          <w:p>
            <w:pPr>
              <w:jc w:val="right"/>
            </w:pPr>
            <w:r>
              <w:rPr>
                <w:b w:val="0"/>
                <w:sz w:val="18"/>
              </w:rPr>
              <w:t>$ [____]</w:t>
            </w:r>
          </w:p>
        </w:tc>
      </w:tr>
      <w:tr>
        <w:tc>
          <w:tcPr>
            <w:tcW w:type="dxa" w:w="4320"/>
          </w:tcPr>
          <w:p>
            <w:r>
              <w:rPr>
                <w:b w:val="0"/>
                <w:sz w:val="18"/>
              </w:rPr>
              <w:t>Package add-ons [list]</w:t>
            </w:r>
          </w:p>
        </w:tc>
        <w:tc>
          <w:tcPr>
            <w:tcW w:type="dxa" w:w="4320"/>
          </w:tcPr>
          <w:p>
            <w:pPr>
              <w:jc w:val="right"/>
            </w:pPr>
            <w:r>
              <w:rPr>
                <w:b w:val="0"/>
                <w:sz w:val="18"/>
              </w:rPr>
              <w:t>$ [____]</w:t>
            </w:r>
          </w:p>
        </w:tc>
      </w:tr>
      <w:tr>
        <w:tc>
          <w:tcPr>
            <w:tcW w:type="dxa" w:w="4320"/>
          </w:tcPr>
          <w:p>
            <w:r>
              <w:rPr>
                <w:b w:val="0"/>
                <w:sz w:val="18"/>
              </w:rPr>
              <w:t>Other approved fees [list]</w:t>
            </w:r>
          </w:p>
        </w:tc>
        <w:tc>
          <w:tcPr>
            <w:tcW w:type="dxa" w:w="4320"/>
          </w:tcPr>
          <w:p>
            <w:pPr>
              <w:jc w:val="right"/>
            </w:pPr>
            <w:r>
              <w:rPr>
                <w:b w:val="0"/>
                <w:sz w:val="18"/>
              </w:rPr>
              <w:t>$ [____]</w:t>
            </w:r>
          </w:p>
        </w:tc>
      </w:tr>
      <w:tr>
        <w:tc>
          <w:tcPr>
            <w:tcW w:type="dxa" w:w="4320"/>
          </w:tcPr>
          <w:p>
            <w:r>
              <w:rPr>
                <w:b w:val="0"/>
                <w:sz w:val="18"/>
              </w:rPr>
              <w:t>Discounts</w:t>
            </w:r>
          </w:p>
        </w:tc>
        <w:tc>
          <w:tcPr>
            <w:tcW w:type="dxa" w:w="4320"/>
          </w:tcPr>
          <w:p>
            <w:pPr>
              <w:jc w:val="right"/>
            </w:pPr>
            <w:r>
              <w:rPr>
                <w:b w:val="0"/>
                <w:sz w:val="18"/>
              </w:rPr>
              <w:t>$ ([____])</w:t>
            </w:r>
          </w:p>
        </w:tc>
      </w:tr>
      <w:tr>
        <w:tc>
          <w:tcPr>
            <w:tcW w:type="dxa" w:w="4320"/>
          </w:tcPr>
          <w:p>
            <w:r>
              <w:rPr>
                <w:b w:val="0"/>
                <w:sz w:val="18"/>
              </w:rPr>
              <w:t>Applicable CA sales tax (taxable items only) [MANAGEMENT CONFIRMATION REQUIRED]</w:t>
            </w:r>
          </w:p>
        </w:tc>
        <w:tc>
          <w:tcPr>
            <w:tcW w:type="dxa" w:w="4320"/>
          </w:tcPr>
          <w:p>
            <w:pPr>
              <w:jc w:val="right"/>
            </w:pPr>
            <w:r>
              <w:rPr>
                <w:b w:val="0"/>
                <w:sz w:val="18"/>
              </w:rPr>
              <w:t>$ [____]</w:t>
            </w:r>
          </w:p>
        </w:tc>
      </w:tr>
      <w:tr>
        <w:tc>
          <w:tcPr>
            <w:tcW w:type="dxa" w:w="4320"/>
          </w:tcPr>
          <w:p>
            <w:r>
              <w:rPr>
                <w:b/>
                <w:sz w:val="18"/>
              </w:rPr>
              <w:t>Quoted rental total</w:t>
            </w:r>
          </w:p>
        </w:tc>
        <w:tc>
          <w:tcPr>
            <w:tcW w:type="dxa" w:w="4320"/>
          </w:tcPr>
          <w:p>
            <w:pPr>
              <w:jc w:val="right"/>
            </w:pPr>
            <w:r>
              <w:rPr>
                <w:b/>
                <w:sz w:val="18"/>
              </w:rPr>
              <w:t>$ [____]</w:t>
            </w:r>
          </w:p>
        </w:tc>
      </w:tr>
      <w:tr>
        <w:tc>
          <w:tcPr>
            <w:tcW w:type="dxa" w:w="4320"/>
          </w:tcPr>
          <w:p>
            <w:r>
              <w:rPr>
                <w:b w:val="0"/>
                <w:sz w:val="18"/>
              </w:rPr>
              <w:t>Less: initial reservation deposit paid (credited to rental)</w:t>
            </w:r>
          </w:p>
        </w:tc>
        <w:tc>
          <w:tcPr>
            <w:tcW w:type="dxa" w:w="4320"/>
          </w:tcPr>
          <w:p>
            <w:pPr>
              <w:jc w:val="right"/>
            </w:pPr>
            <w:r>
              <w:rPr>
                <w:b w:val="0"/>
                <w:sz w:val="18"/>
              </w:rPr>
              <w:t>– $ 1,000.00</w:t>
            </w:r>
          </w:p>
        </w:tc>
      </w:tr>
      <w:tr>
        <w:tc>
          <w:tcPr>
            <w:tcW w:type="dxa" w:w="4320"/>
          </w:tcPr>
          <w:p>
            <w:r>
              <w:rPr>
                <w:b/>
                <w:sz w:val="18"/>
              </w:rPr>
              <w:t>Remaining balance due — by [date] [MGMT CONFIRM]</w:t>
            </w:r>
          </w:p>
        </w:tc>
        <w:tc>
          <w:tcPr>
            <w:tcW w:type="dxa" w:w="4320"/>
          </w:tcPr>
          <w:p>
            <w:pPr>
              <w:jc w:val="right"/>
            </w:pPr>
            <w:r>
              <w:rPr>
                <w:b/>
                <w:sz w:val="18"/>
              </w:rPr>
              <w:t>$ [____]</w:t>
            </w:r>
          </w:p>
        </w:tc>
      </w:tr>
    </w:tbl>
    <w:p>
      <w:pPr>
        <w:spacing w:after="40"/>
      </w:pPr>
    </w:p>
    <w:p>
      <w:pPr>
        <w:spacing w:after="80"/>
      </w:pPr>
      <w:r>
        <w:rPr>
          <w:b w:val="0"/>
          <w:i/>
          <w:sz w:val="18"/>
        </w:rPr>
        <w:t>Illustrative example (sample booking, not a quote): venue rent $5,190 + cleaning $480 + security $40/hr × 4 hrs ($160) − discount $2,595 = quoted total $3,235 (plus any applicable tax); less $1,000 reservation deposit credited = remaining balance $2,235.</w:t>
      </w:r>
    </w:p>
    <w:p>
      <w:pPr>
        <w:spacing w:after="80"/>
      </w:pPr>
      <w:r>
        <w:rPr>
          <w:b w:val="0"/>
          <w:i w:val="0"/>
          <w:sz w:val="19"/>
        </w:rPr>
        <w:t xml:space="preserve">Select payment type:  [ ] Cash  [ ] Check  [ ] Zelle  [ ] Credit Card (+3% fee)  [ ] Other: ______   </w:t>
      </w:r>
      <w:r>
        <w:rPr>
          <w:b/>
          <w:i w:val="0"/>
          <w:color w:val="8A4009"/>
          <w:sz w:val="17"/>
          <w:highlight w:val="yellow"/>
        </w:rPr>
        <w:t>[CALIFORNIA LEGAL COUNSEL REVIEW REQUIRED — surcharge wording; debit excluded]</w:t>
      </w:r>
    </w:p>
    <w:p>
      <w:pPr>
        <w:spacing w:after="80"/>
      </w:pPr>
      <w:r>
        <w:rPr>
          <w:b w:val="0"/>
          <w:i w:val="0"/>
          <w:sz w:val="19"/>
        </w:rPr>
        <w:t>Make checks payable to: Crown Prince Hall Corporation (CA Entity No. B20260164272). The 3% fee applies to credit cards only, not debit cards.</w:t>
      </w:r>
    </w:p>
    <w:p>
      <w:pPr>
        <w:spacing w:before="160" w:after="40"/>
      </w:pPr>
      <w:r>
        <w:rPr>
          <w:b/>
          <w:color w:val="22314D"/>
          <w:sz w:val="25"/>
        </w:rPr>
        <w:t>12. Insurance  (Client initials: ____)</w:t>
      </w:r>
    </w:p>
    <w:p>
      <w:pPr>
        <w:spacing w:after="80"/>
      </w:pPr>
      <w:r>
        <w:rPr>
          <w:b w:val="0"/>
          <w:i w:val="0"/>
          <w:sz w:val="20"/>
        </w:rPr>
        <w:t>Client must carry event liability insurance of at least $1,000,000 per occurrence / $2,000,000 aggregate, plus $1,000,000 host liquor liability if alcohol is served. Crown Prince Hall Corporation, d/b/a Crown Prince Event Hall, and its landlord must be named additional insureds. A certificate is due at least 30 days before. Venue may hold access until the certificate is received (not a cancellation). Limits are minimums and do not limit Client’s liability under Section 3.</w:t>
      </w:r>
    </w:p>
    <w:p>
      <w:pPr>
        <w:spacing w:before="160" w:after="40"/>
      </w:pPr>
      <w:r>
        <w:rPr>
          <w:b/>
          <w:color w:val="22314D"/>
          <w:sz w:val="25"/>
        </w:rPr>
        <w:t>13. Accessibility (California Civil Code § 1938)</w:t>
      </w:r>
    </w:p>
    <w:p>
      <w:pPr>
        <w:spacing w:after="80"/>
      </w:pPr>
      <w:r>
        <w:rPr>
          <w:b w:val="0"/>
          <w:i w:val="0"/>
          <w:sz w:val="20"/>
        </w:rPr>
        <w:t xml:space="preserve">Disclosure required by § 1938 — check one only after the CASp status of 1654 Burdette Dr is confirmed </w:t>
      </w:r>
      <w:r>
        <w:rPr>
          <w:b/>
          <w:i w:val="0"/>
          <w:color w:val="8A4009"/>
          <w:sz w:val="17"/>
          <w:highlight w:val="yellow"/>
        </w:rPr>
        <w:t>[VERIFY WITH SOURCE DOCUMENT]</w:t>
      </w:r>
      <w:r>
        <w:rPr>
          <w:b w:val="0"/>
          <w:i w:val="0"/>
          <w:sz w:val="20"/>
        </w:rPr>
        <w:t>:</w:t>
      </w:r>
    </w:p>
    <w:p>
      <w:pPr>
        <w:spacing w:after="80"/>
      </w:pPr>
      <w:r>
        <w:rPr>
          <w:b w:val="0"/>
          <w:i w:val="0"/>
          <w:sz w:val="19"/>
        </w:rPr>
        <w:t>[ ] Not inspected by a CASp.   [ ] Inspected — meets standards.   [ ] Inspected — does not meet them.</w:t>
      </w:r>
    </w:p>
    <w:p>
      <w:pPr>
        <w:spacing w:after="80"/>
      </w:pPr>
      <w:r>
        <w:rPr>
          <w:b w:val="0"/>
          <w:i w:val="0"/>
          <w:sz w:val="18"/>
        </w:rPr>
        <w:t>A Certified Access Specialist (CASp) can inspect the subject premises and determine whether the subject premises comply with all of the applicable construction-related accessibility standards under state law. Although state law does not require a CASp inspection of the subject premises, the commercial property owner or lessor may not prohibit a lessee or tenant from obtaining a CASp inspection of the subject premises for the occupancy or potential occupancy of the lessee or tenant, if requested by the lessee or tenant. The parties shall mutually agree on the arrangements for the time and manner of the CASp inspection, the payment of the fee for the CASp inspection, and the cost of making any repairs necessary to correct violations of construction-related accessibility standards within the premises.</w:t>
      </w:r>
    </w:p>
    <w:p>
      <w:pPr>
        <w:spacing w:after="80"/>
      </w:pPr>
      <w:r>
        <w:rPr>
          <w:b w:val="0"/>
          <w:i w:val="0"/>
          <w:sz w:val="18"/>
        </w:rPr>
        <w:t>Client must keep accessible entrances, routes, restrooms and parking clear, and is responsible for guest accommodation requests and for any barrier created by Client’s own layout, décor or equipment.</w:t>
      </w:r>
    </w:p>
    <w:p>
      <w:pPr>
        <w:spacing w:before="160" w:after="40"/>
      </w:pPr>
      <w:r>
        <w:rPr>
          <w:b/>
          <w:color w:val="22314D"/>
          <w:sz w:val="25"/>
        </w:rPr>
        <w:t>14. Force Majeure</w:t>
      </w:r>
    </w:p>
    <w:p>
      <w:pPr>
        <w:spacing w:after="80"/>
      </w:pPr>
      <w:r>
        <w:rPr>
          <w:b w:val="0"/>
          <w:i w:val="0"/>
          <w:sz w:val="20"/>
        </w:rPr>
        <w:t xml:space="preserve">Either party may terminate without liability if a circumstance beyond its control makes it illegal or impossible to provide or use the facilities, on written notice no later than 10 days after learning of the basis. Primary remedy is credit or reschedule; the reservation payment is [refundable / non-refundable — pending]; additional payments are eligible for refund. If Venue cancels for a reason not caused by Client, Client receives a full refund and help finding an alternative. </w:t>
      </w:r>
      <w:r>
        <w:rPr>
          <w:b/>
          <w:i w:val="0"/>
          <w:color w:val="8A4009"/>
          <w:sz w:val="17"/>
          <w:highlight w:val="yellow"/>
        </w:rPr>
        <w:t>[CALIFORNIA LEGAL COUNSEL REVIEW REQUIRED]</w:t>
      </w:r>
    </w:p>
    <w:p>
      <w:pPr>
        <w:spacing w:before="160" w:after="40"/>
      </w:pPr>
      <w:r>
        <w:rPr>
          <w:b/>
          <w:color w:val="22314D"/>
          <w:sz w:val="25"/>
        </w:rPr>
        <w:t>15. General</w:t>
      </w:r>
    </w:p>
    <w:p>
      <w:pPr>
        <w:spacing w:after="80"/>
      </w:pPr>
      <w:r>
        <w:rPr>
          <w:b w:val="0"/>
          <w:i w:val="0"/>
          <w:sz w:val="20"/>
        </w:rPr>
        <w:t xml:space="preserve">California law applies; mediation in Santa Clara County before suit; lawsuits in Santa Clara County Superior Court; prevailing party may recover attorney fees; entire agreement; severability; Venue’s total responsibility limited to amounts paid except where not limited by law. </w:t>
      </w:r>
      <w:r>
        <w:rPr>
          <w:b/>
          <w:i w:val="0"/>
          <w:color w:val="8A4009"/>
          <w:sz w:val="17"/>
          <w:highlight w:val="yellow"/>
        </w:rPr>
        <w:t>[CALIFORNIA LEGAL COUNSEL REVIEW REQUIRED]</w:t>
      </w:r>
      <w:r>
        <w:rPr>
          <w:b w:val="0"/>
          <w:i w:val="0"/>
          <w:sz w:val="20"/>
        </w:rPr>
        <w:t xml:space="preserve"> The signer is at least 18 (21 if alcohol is served) and, if signing for a company, is personally responsible for amounts owed.</w:t>
      </w:r>
    </w:p>
    <w:tbl>
      <w:tblPr>
        <w:tblW w:type="auto" w:w="0"/>
        <w:tblLook w:firstColumn="1" w:firstRow="1" w:lastColumn="0" w:lastRow="0" w:noHBand="0" w:noVBand="1" w:val="04A0"/>
      </w:tblPr>
      <w:tblGrid>
        <w:gridCol w:w="4320"/>
        <w:gridCol w:w="4320"/>
      </w:tblGrid>
      <w:tr>
        <w:tc>
          <w:tcPr>
            <w:tcW w:type="dxa" w:w="4320"/>
          </w:tcPr>
          <w:p>
            <w:r>
              <w:rPr>
                <w:sz w:val="20"/>
              </w:rPr>
              <w:t>__________________________________</w:t>
            </w:r>
          </w:p>
          <w:p>
            <w:r>
              <w:rPr>
                <w:color w:val="6B7280"/>
                <w:sz w:val="16"/>
              </w:rPr>
              <w:t>Client signature &amp; date</w:t>
            </w:r>
          </w:p>
        </w:tc>
        <w:tc>
          <w:tcPr>
            <w:tcW w:type="dxa" w:w="4320"/>
          </w:tcPr>
          <w:p>
            <w:r>
              <w:rPr>
                <w:sz w:val="20"/>
              </w:rPr>
              <w:t>__________________________________</w:t>
            </w:r>
          </w:p>
          <w:p>
            <w:r>
              <w:rPr>
                <w:color w:val="6B7280"/>
                <w:sz w:val="16"/>
              </w:rPr>
              <w:t>Venue representative &amp; date</w:t>
            </w:r>
          </w:p>
        </w:tc>
      </w:tr>
      <w:tr>
        <w:tc>
          <w:tcPr>
            <w:tcW w:type="dxa" w:w="4320"/>
          </w:tcPr>
          <w:p>
            <w:r>
              <w:rPr>
                <w:sz w:val="20"/>
              </w:rPr>
              <w:t>__________________________________</w:t>
            </w:r>
          </w:p>
          <w:p>
            <w:r>
              <w:rPr>
                <w:color w:val="6B7280"/>
                <w:sz w:val="16"/>
              </w:rPr>
              <w:t>Printed name</w:t>
            </w:r>
          </w:p>
        </w:tc>
        <w:tc>
          <w:tcPr>
            <w:tcW w:type="dxa" w:w="4320"/>
          </w:tcPr>
          <w:p>
            <w:r>
              <w:rPr>
                <w:sz w:val="20"/>
              </w:rPr>
              <w:t>__________________________________</w:t>
            </w:r>
          </w:p>
          <w:p>
            <w:r>
              <w:rPr>
                <w:color w:val="6B7280"/>
                <w:sz w:val="16"/>
              </w:rPr>
              <w:t>Printed name &amp; title</w:t>
            </w:r>
          </w:p>
        </w:tc>
      </w:tr>
    </w:tbl>
    <w:p/>
    <w:p>
      <w:r>
        <w:br w:type="page"/>
      </w:r>
    </w:p>
    <w:p>
      <w:pPr>
        <w:spacing w:before="160" w:after="40"/>
      </w:pPr>
      <w:r>
        <w:rPr>
          <w:b/>
          <w:color w:val="22314D"/>
          <w:sz w:val="25"/>
        </w:rPr>
        <w:t>Appendix — Scenario Test (applies to both agreements)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Scenario</w:t>
            </w:r>
          </w:p>
        </w:tc>
        <w:tc>
          <w:tcPr>
            <w:tcW w:type="dxa" w:w="2160"/>
          </w:tcPr>
          <w:p>
            <w:r>
              <w:rPr>
                <w:b/>
                <w:sz w:val="17"/>
              </w:rPr>
              <w:t>CPH ($1,000)</w:t>
            </w:r>
          </w:p>
        </w:tc>
        <w:tc>
          <w:tcPr>
            <w:tcW w:type="dxa" w:w="2160"/>
          </w:tcPr>
          <w:p>
            <w:r>
              <w:rPr>
                <w:b/>
                <w:sz w:val="17"/>
              </w:rPr>
              <w:t>ACD ($500)</w:t>
            </w:r>
          </w:p>
        </w:tc>
        <w:tc>
          <w:tcPr>
            <w:tcW w:type="dxa" w:w="2160"/>
          </w:tcPr>
          <w:p>
            <w:r>
              <w:rPr>
                <w:b/>
                <w:sz w:val="17"/>
              </w:rPr>
              <w:t>Notes</w:t>
            </w:r>
          </w:p>
        </w:tc>
      </w:tr>
      <w:tr>
        <w:tc>
          <w:tcPr>
            <w:tcW w:type="dxa" w:w="2160"/>
          </w:tcPr>
          <w:p>
            <w:r/>
            <w:r>
              <w:rPr>
                <w:sz w:val="17"/>
              </w:rPr>
              <w:t>Pays deposit, proceeds</w:t>
            </w:r>
          </w:p>
        </w:tc>
        <w:tc>
          <w:tcPr>
            <w:tcW w:type="dxa" w:w="2160"/>
          </w:tcPr>
          <w:p>
            <w:r/>
            <w:r>
              <w:rPr>
                <w:sz w:val="17"/>
              </w:rPr>
              <w:t>$1,000 credited; balance = total − $1,000</w:t>
            </w:r>
          </w:p>
        </w:tc>
        <w:tc>
          <w:tcPr>
            <w:tcW w:type="dxa" w:w="2160"/>
          </w:tcPr>
          <w:p>
            <w:r/>
            <w:r>
              <w:rPr>
                <w:sz w:val="17"/>
              </w:rPr>
              <w:t>$500 credited; balance = total − $500</w:t>
            </w:r>
          </w:p>
        </w:tc>
        <w:tc>
          <w:tcPr>
            <w:tcW w:type="dxa" w:w="2160"/>
          </w:tcPr>
          <w:p>
            <w:r/>
            <w:r>
              <w:rPr>
                <w:sz w:val="17"/>
              </w:rPr>
              <w:t>Deposit is not an extra charge</w:t>
            </w:r>
          </w:p>
        </w:tc>
      </w:tr>
      <w:tr>
        <w:tc>
          <w:tcPr>
            <w:tcW w:type="dxa" w:w="2160"/>
          </w:tcPr>
          <w:p>
            <w:r/>
            <w:r>
              <w:rPr>
                <w:sz w:val="17"/>
              </w:rPr>
              <w:t>Cancels day 7</w:t>
            </w:r>
          </w:p>
        </w:tc>
        <w:tc>
          <w:tcPr>
            <w:tcW w:type="dxa" w:w="2160"/>
          </w:tcPr>
          <w:p>
            <w:r/>
            <w:r>
              <w:rPr>
                <w:sz w:val="17"/>
              </w:rPr>
              <w:t>$1,000 refunded</w:t>
            </w:r>
          </w:p>
        </w:tc>
        <w:tc>
          <w:tcPr>
            <w:tcW w:type="dxa" w:w="2160"/>
          </w:tcPr>
          <w:p>
            <w:r/>
            <w:r>
              <w:rPr>
                <w:sz w:val="17"/>
              </w:rPr>
              <w:t>$500 refunded</w:t>
            </w:r>
          </w:p>
        </w:tc>
        <w:tc>
          <w:tcPr>
            <w:tcW w:type="dxa" w:w="2160"/>
          </w:tcPr>
          <w:p>
            <w:r/>
            <w:r>
              <w:rPr>
                <w:sz w:val="17"/>
              </w:rPr>
              <w:t>Within 14-day window</w:t>
            </w:r>
          </w:p>
        </w:tc>
      </w:tr>
      <w:tr>
        <w:tc>
          <w:tcPr>
            <w:tcW w:type="dxa" w:w="2160"/>
          </w:tcPr>
          <w:p>
            <w:r/>
            <w:r>
              <w:rPr>
                <w:sz w:val="17"/>
              </w:rPr>
              <w:t>Cancels day 14</w:t>
            </w:r>
          </w:p>
        </w:tc>
        <w:tc>
          <w:tcPr>
            <w:tcW w:type="dxa" w:w="2160"/>
          </w:tcPr>
          <w:p>
            <w:r/>
            <w:r>
              <w:rPr>
                <w:sz w:val="17"/>
              </w:rPr>
              <w:t>$1,000 refunded</w:t>
            </w:r>
          </w:p>
        </w:tc>
        <w:tc>
          <w:tcPr>
            <w:tcW w:type="dxa" w:w="2160"/>
          </w:tcPr>
          <w:p>
            <w:r/>
            <w:r>
              <w:rPr>
                <w:sz w:val="17"/>
              </w:rPr>
              <w:t>$500 refunded</w:t>
            </w:r>
          </w:p>
        </w:tc>
        <w:tc>
          <w:tcPr>
            <w:tcW w:type="dxa" w:w="2160"/>
          </w:tcPr>
          <w:p>
            <w:r/>
            <w:r>
              <w:rPr>
                <w:sz w:val="17"/>
              </w:rPr>
              <w:t>Day 14 is within the window</w:t>
            </w:r>
          </w:p>
        </w:tc>
      </w:tr>
      <w:tr>
        <w:tc>
          <w:tcPr>
            <w:tcW w:type="dxa" w:w="2160"/>
          </w:tcPr>
          <w:p>
            <w:r/>
            <w:r>
              <w:rPr>
                <w:sz w:val="17"/>
              </w:rPr>
              <w:t>Cancels day 15</w:t>
            </w:r>
          </w:p>
        </w:tc>
        <w:tc>
          <w:tcPr>
            <w:tcW w:type="dxa" w:w="2160"/>
          </w:tcPr>
          <w:p>
            <w:r/>
            <w:r>
              <w:rPr>
                <w:sz w:val="17"/>
              </w:rPr>
              <w:t>$200 refund / $800 retained</w:t>
            </w:r>
          </w:p>
        </w:tc>
        <w:tc>
          <w:tcPr>
            <w:tcW w:type="dxa" w:w="2160"/>
          </w:tcPr>
          <w:p>
            <w:r/>
            <w:r>
              <w:rPr>
                <w:sz w:val="17"/>
              </w:rPr>
              <w:t>$100 refund / $400 retained</w:t>
            </w:r>
          </w:p>
        </w:tc>
        <w:tc>
          <w:tcPr>
            <w:tcW w:type="dxa" w:w="2160"/>
          </w:tcPr>
          <w:p>
            <w:r/>
            <w:r>
              <w:rPr>
                <w:sz w:val="17"/>
              </w:rPr>
              <w:t>20% / 80%</w:t>
            </w:r>
          </w:p>
        </w:tc>
      </w:tr>
      <w:tr>
        <w:tc>
          <w:tcPr>
            <w:tcW w:type="dxa" w:w="2160"/>
          </w:tcPr>
          <w:p>
            <w:r/>
            <w:r>
              <w:rPr>
                <w:sz w:val="17"/>
              </w:rPr>
              <w:t>Paid additional amounts</w:t>
            </w:r>
          </w:p>
        </w:tc>
        <w:tc>
          <w:tcPr>
            <w:tcW w:type="dxa" w:w="2160"/>
          </w:tcPr>
          <w:p>
            <w:r/>
            <w:r>
              <w:rPr>
                <w:sz w:val="17"/>
              </w:rPr>
              <w:t>Deposit as above; additional-payment refund not set</w:t>
            </w:r>
          </w:p>
        </w:tc>
        <w:tc>
          <w:tcPr>
            <w:tcW w:type="dxa" w:w="2160"/>
          </w:tcPr>
          <w:p>
            <w:r/>
            <w:r>
              <w:rPr>
                <w:sz w:val="17"/>
              </w:rPr>
              <w:t>same</w:t>
            </w:r>
          </w:p>
        </w:tc>
        <w:tc>
          <w:tcPr>
            <w:tcW w:type="dxa" w:w="2160"/>
          </w:tcPr>
          <w:p>
            <w:r/>
            <w:r>
              <w:rPr>
                <w:b/>
                <w:sz w:val="15"/>
                <w:highlight w:val="yellow"/>
              </w:rPr>
              <w:t>[MANAGEMENT CONFIRMATION REQUIRED]</w:t>
            </w:r>
            <w:r>
              <w:rPr>
                <w:sz w:val="17"/>
              </w:rPr>
              <w:t xml:space="preserve"> </w:t>
            </w:r>
            <w:r>
              <w:rPr>
                <w:b/>
                <w:sz w:val="15"/>
                <w:highlight w:val="yellow"/>
              </w:rPr>
              <w:t>[CA COUNSEL]</w:t>
            </w:r>
          </w:p>
        </w:tc>
      </w:tr>
      <w:tr>
        <w:tc>
          <w:tcPr>
            <w:tcW w:type="dxa" w:w="2160"/>
          </w:tcPr>
          <w:p>
            <w:r/>
            <w:r>
              <w:rPr>
                <w:sz w:val="17"/>
              </w:rPr>
              <w:t>Disputes a refund</w:t>
            </w:r>
          </w:p>
        </w:tc>
        <w:tc>
          <w:tcPr>
            <w:tcW w:type="dxa" w:w="2160"/>
          </w:tcPr>
          <w:p>
            <w:r/>
            <w:r>
              <w:rPr>
                <w:sz w:val="17"/>
              </w:rPr>
              <w:t>Reviewed individually; dispute-first process to replace no-dispute clause</w:t>
            </w:r>
          </w:p>
        </w:tc>
        <w:tc>
          <w:tcPr>
            <w:tcW w:type="dxa" w:w="2160"/>
          </w:tcPr>
          <w:p>
            <w:r/>
            <w:r>
              <w:rPr>
                <w:sz w:val="17"/>
              </w:rPr>
              <w:t>same</w:t>
            </w:r>
          </w:p>
        </w:tc>
        <w:tc>
          <w:tcPr>
            <w:tcW w:type="dxa" w:w="2160"/>
          </w:tcPr>
          <w:p>
            <w:r/>
            <w:r>
              <w:rPr>
                <w:b/>
                <w:sz w:val="15"/>
                <w:highlight w:val="yellow"/>
              </w:rPr>
              <w:t>[CA COUNSEL]</w:t>
            </w:r>
          </w:p>
        </w:tc>
      </w:tr>
      <w:tr>
        <w:tc>
          <w:tcPr>
            <w:tcW w:type="dxa" w:w="2160"/>
          </w:tcPr>
          <w:p>
            <w:r/>
            <w:r>
              <w:rPr>
                <w:sz w:val="17"/>
              </w:rPr>
              <w:t>Venue cancels / terminates</w:t>
            </w:r>
          </w:p>
        </w:tc>
        <w:tc>
          <w:tcPr>
            <w:tcW w:type="dxa" w:w="2160"/>
          </w:tcPr>
          <w:p>
            <w:r/>
            <w:r>
              <w:rPr>
                <w:sz w:val="17"/>
              </w:rPr>
              <w:t>No-fault: full refund + help; breach: no refund (under review)</w:t>
            </w:r>
          </w:p>
        </w:tc>
        <w:tc>
          <w:tcPr>
            <w:tcW w:type="dxa" w:w="2160"/>
          </w:tcPr>
          <w:p>
            <w:r/>
            <w:r>
              <w:rPr>
                <w:sz w:val="17"/>
              </w:rPr>
              <w:t>Venue-cancellation/FM is a recommended ACD addition</w:t>
            </w:r>
          </w:p>
        </w:tc>
        <w:tc>
          <w:tcPr>
            <w:tcW w:type="dxa" w:w="2160"/>
          </w:tcPr>
          <w:p>
            <w:r/>
            <w:r>
              <w:rPr>
                <w:b/>
                <w:sz w:val="15"/>
                <w:highlight w:val="yellow"/>
              </w:rPr>
              <w:t>[CA COUNSEL]</w:t>
            </w:r>
          </w:p>
        </w:tc>
      </w:tr>
    </w:tbl>
    <w:p/>
    <w:p>
      <w:pPr>
        <w:spacing w:before="160" w:after="40"/>
      </w:pPr>
      <w:r>
        <w:rPr>
          <w:b/>
          <w:color w:val="22314D"/>
          <w:sz w:val="25"/>
        </w:rPr>
        <w:t>Appendix — Management Decision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ID</w:t>
            </w:r>
          </w:p>
        </w:tc>
        <w:tc>
          <w:tcPr>
            <w:tcW w:type="dxa" w:w="2160"/>
          </w:tcPr>
          <w:p>
            <w:r>
              <w:rPr>
                <w:b/>
                <w:sz w:val="17"/>
              </w:rPr>
              <w:t>Decision needed</w:t>
            </w:r>
          </w:p>
        </w:tc>
        <w:tc>
          <w:tcPr>
            <w:tcW w:type="dxa" w:w="2160"/>
          </w:tcPr>
          <w:p>
            <w:r>
              <w:rPr>
                <w:b/>
                <w:sz w:val="17"/>
              </w:rPr>
              <w:t>Owner</w:t>
            </w:r>
          </w:p>
        </w:tc>
        <w:tc>
          <w:tcPr>
            <w:tcW w:type="dxa" w:w="2160"/>
          </w:tcPr>
          <w:p>
            <w:r>
              <w:rPr>
                <w:b/>
                <w:sz w:val="17"/>
              </w:rPr>
              <w:t>Why</w:t>
            </w:r>
          </w:p>
        </w:tc>
      </w:tr>
      <w:tr>
        <w:tc>
          <w:tcPr>
            <w:tcW w:type="dxa" w:w="2160"/>
          </w:tcPr>
          <w:p>
            <w:r/>
            <w:r>
              <w:rPr>
                <w:sz w:val="17"/>
              </w:rPr>
              <w:t>M-1</w:t>
            </w:r>
          </w:p>
        </w:tc>
        <w:tc>
          <w:tcPr>
            <w:tcW w:type="dxa" w:w="2160"/>
          </w:tcPr>
          <w:p>
            <w:r/>
            <w:r>
              <w:rPr>
                <w:sz w:val="17"/>
              </w:rPr>
              <w:t>Refund of payments beyond the deposit</w:t>
            </w:r>
          </w:p>
        </w:tc>
        <w:tc>
          <w:tcPr>
            <w:tcW w:type="dxa" w:w="2160"/>
          </w:tcPr>
          <w:p>
            <w:r/>
            <w:r>
              <w:rPr>
                <w:sz w:val="17"/>
              </w:rPr>
              <w:t>Mgmt · CA counsel</w:t>
            </w:r>
          </w:p>
        </w:tc>
        <w:tc>
          <w:tcPr>
            <w:tcW w:type="dxa" w:w="2160"/>
          </w:tcPr>
          <w:p>
            <w:r/>
            <w:r>
              <w:rPr>
                <w:sz w:val="17"/>
              </w:rPr>
              <w:t>Policy silent</w:t>
            </w:r>
          </w:p>
        </w:tc>
      </w:tr>
      <w:tr>
        <w:tc>
          <w:tcPr>
            <w:tcW w:type="dxa" w:w="2160"/>
          </w:tcPr>
          <w:p>
            <w:r/>
            <w:r>
              <w:rPr>
                <w:sz w:val="17"/>
              </w:rPr>
              <w:t>M-2</w:t>
            </w:r>
          </w:p>
        </w:tc>
        <w:tc>
          <w:tcPr>
            <w:tcW w:type="dxa" w:w="2160"/>
          </w:tcPr>
          <w:p>
            <w:r/>
            <w:r>
              <w:rPr>
                <w:sz w:val="17"/>
              </w:rPr>
              <w:t>Refund processing timeline</w:t>
            </w:r>
          </w:p>
        </w:tc>
        <w:tc>
          <w:tcPr>
            <w:tcW w:type="dxa" w:w="2160"/>
          </w:tcPr>
          <w:p>
            <w:r/>
            <w:r>
              <w:rPr>
                <w:sz w:val="17"/>
              </w:rPr>
              <w:t>Mgmt</w:t>
            </w:r>
          </w:p>
        </w:tc>
        <w:tc>
          <w:tcPr>
            <w:tcW w:type="dxa" w:w="2160"/>
          </w:tcPr>
          <w:p>
            <w:r/>
            <w:r>
              <w:rPr>
                <w:sz w:val="17"/>
              </w:rPr>
              <w:t>No deadline set</w:t>
            </w:r>
          </w:p>
        </w:tc>
      </w:tr>
      <w:tr>
        <w:tc>
          <w:tcPr>
            <w:tcW w:type="dxa" w:w="2160"/>
          </w:tcPr>
          <w:p>
            <w:r/>
            <w:r>
              <w:rPr>
                <w:sz w:val="17"/>
              </w:rPr>
              <w:t>M-3</w:t>
            </w:r>
          </w:p>
        </w:tc>
        <w:tc>
          <w:tcPr>
            <w:tcW w:type="dxa" w:w="2160"/>
          </w:tcPr>
          <w:p>
            <w:r/>
            <w:r>
              <w:rPr>
                <w:sz w:val="17"/>
              </w:rPr>
              <w:t>Rescheduling / date-change terms</w:t>
            </w:r>
          </w:p>
        </w:tc>
        <w:tc>
          <w:tcPr>
            <w:tcW w:type="dxa" w:w="2160"/>
          </w:tcPr>
          <w:p>
            <w:r/>
            <w:r>
              <w:rPr>
                <w:sz w:val="17"/>
              </w:rPr>
              <w:t>Mgmt</w:t>
            </w:r>
          </w:p>
        </w:tc>
        <w:tc>
          <w:tcPr>
            <w:tcW w:type="dxa" w:w="2160"/>
          </w:tcPr>
          <w:p>
            <w:r/>
            <w:r>
              <w:rPr>
                <w:sz w:val="17"/>
              </w:rPr>
              <w:t>Old model removed</w:t>
            </w:r>
          </w:p>
        </w:tc>
      </w:tr>
      <w:tr>
        <w:tc>
          <w:tcPr>
            <w:tcW w:type="dxa" w:w="2160"/>
          </w:tcPr>
          <w:p>
            <w:r/>
            <w:r>
              <w:rPr>
                <w:sz w:val="17"/>
              </w:rPr>
              <w:t>M-4</w:t>
            </w:r>
          </w:p>
        </w:tc>
        <w:tc>
          <w:tcPr>
            <w:tcW w:type="dxa" w:w="2160"/>
          </w:tcPr>
          <w:p>
            <w:r/>
            <w:r>
              <w:rPr>
                <w:sz w:val="17"/>
              </w:rPr>
              <w:t>Separate security/damage deposit?</w:t>
            </w:r>
          </w:p>
        </w:tc>
        <w:tc>
          <w:tcPr>
            <w:tcW w:type="dxa" w:w="2160"/>
          </w:tcPr>
          <w:p>
            <w:r/>
            <w:r>
              <w:rPr>
                <w:sz w:val="17"/>
              </w:rPr>
              <w:t>Mgmt</w:t>
            </w:r>
          </w:p>
        </w:tc>
        <w:tc>
          <w:tcPr>
            <w:tcW w:type="dxa" w:w="2160"/>
          </w:tcPr>
          <w:p>
            <w:r/>
            <w:r>
              <w:rPr>
                <w:sz w:val="17"/>
              </w:rPr>
              <w:t>Deposit now credited to rent</w:t>
            </w:r>
          </w:p>
        </w:tc>
      </w:tr>
      <w:tr>
        <w:tc>
          <w:tcPr>
            <w:tcW w:type="dxa" w:w="2160"/>
          </w:tcPr>
          <w:p>
            <w:r/>
            <w:r>
              <w:rPr>
                <w:sz w:val="17"/>
              </w:rPr>
              <w:t>M-5</w:t>
            </w:r>
          </w:p>
        </w:tc>
        <w:tc>
          <w:tcPr>
            <w:tcW w:type="dxa" w:w="2160"/>
          </w:tcPr>
          <w:p>
            <w:r/>
            <w:r>
              <w:rPr>
                <w:sz w:val="17"/>
              </w:rPr>
              <w:t>20%/80% retention enforceability</w:t>
            </w:r>
          </w:p>
        </w:tc>
        <w:tc>
          <w:tcPr>
            <w:tcW w:type="dxa" w:w="2160"/>
          </w:tcPr>
          <w:p>
            <w:r/>
            <w:r>
              <w:rPr>
                <w:sz w:val="17"/>
              </w:rPr>
              <w:t>CA counsel</w:t>
            </w:r>
          </w:p>
        </w:tc>
        <w:tc>
          <w:tcPr>
            <w:tcW w:type="dxa" w:w="2160"/>
          </w:tcPr>
          <w:p>
            <w:r/>
            <w:r>
              <w:rPr>
                <w:sz w:val="17"/>
              </w:rPr>
              <w:t>§1671 liquidated damages</w:t>
            </w:r>
          </w:p>
        </w:tc>
      </w:tr>
      <w:tr>
        <w:tc>
          <w:tcPr>
            <w:tcW w:type="dxa" w:w="2160"/>
          </w:tcPr>
          <w:p>
            <w:r/>
            <w:r>
              <w:rPr>
                <w:sz w:val="17"/>
              </w:rPr>
              <w:t>M-6</w:t>
            </w:r>
          </w:p>
        </w:tc>
        <w:tc>
          <w:tcPr>
            <w:tcW w:type="dxa" w:w="2160"/>
          </w:tcPr>
          <w:p>
            <w:r/>
            <w:r>
              <w:rPr>
                <w:sz w:val="17"/>
              </w:rPr>
              <w:t>Late fee (replace 1%/mo); no-dispute clause</w:t>
            </w:r>
          </w:p>
        </w:tc>
        <w:tc>
          <w:tcPr>
            <w:tcW w:type="dxa" w:w="2160"/>
          </w:tcPr>
          <w:p>
            <w:r/>
            <w:r>
              <w:rPr>
                <w:sz w:val="17"/>
              </w:rPr>
              <w:t>Mgmt · CA counsel</w:t>
            </w:r>
          </w:p>
        </w:tc>
        <w:tc>
          <w:tcPr>
            <w:tcW w:type="dxa" w:w="2160"/>
          </w:tcPr>
          <w:p>
            <w:r/>
            <w:r>
              <w:rPr>
                <w:sz w:val="17"/>
              </w:rPr>
              <w:t>Usury / enforceability</w:t>
            </w:r>
          </w:p>
        </w:tc>
      </w:tr>
      <w:tr>
        <w:tc>
          <w:tcPr>
            <w:tcW w:type="dxa" w:w="2160"/>
          </w:tcPr>
          <w:p>
            <w:r/>
            <w:r>
              <w:rPr>
                <w:sz w:val="17"/>
              </w:rPr>
              <w:t>M-7</w:t>
            </w:r>
          </w:p>
        </w:tc>
        <w:tc>
          <w:tcPr>
            <w:tcW w:type="dxa" w:w="2160"/>
          </w:tcPr>
          <w:p>
            <w:r/>
            <w:r>
              <w:rPr>
                <w:sz w:val="17"/>
              </w:rPr>
              <w:t>Card surcharge wording; debit</w:t>
            </w:r>
          </w:p>
        </w:tc>
        <w:tc>
          <w:tcPr>
            <w:tcW w:type="dxa" w:w="2160"/>
          </w:tcPr>
          <w:p>
            <w:r/>
            <w:r>
              <w:rPr>
                <w:sz w:val="17"/>
              </w:rPr>
              <w:t>CA counsel · Accounting</w:t>
            </w:r>
          </w:p>
        </w:tc>
        <w:tc>
          <w:tcPr>
            <w:tcW w:type="dxa" w:w="2160"/>
          </w:tcPr>
          <w:p>
            <w:r/>
            <w:r>
              <w:rPr>
                <w:sz w:val="17"/>
              </w:rPr>
              <w:t>Compliance</w:t>
            </w:r>
          </w:p>
        </w:tc>
      </w:tr>
      <w:tr>
        <w:tc>
          <w:tcPr>
            <w:tcW w:type="dxa" w:w="2160"/>
          </w:tcPr>
          <w:p>
            <w:r/>
            <w:r>
              <w:rPr>
                <w:sz w:val="17"/>
              </w:rPr>
              <w:t>M-8</w:t>
            </w:r>
          </w:p>
        </w:tc>
        <w:tc>
          <w:tcPr>
            <w:tcW w:type="dxa" w:w="2160"/>
          </w:tcPr>
          <w:p>
            <w:r/>
            <w:r>
              <w:rPr>
                <w:sz w:val="17"/>
              </w:rPr>
              <w:t>ACD legal entity &amp; payee</w:t>
            </w:r>
          </w:p>
        </w:tc>
        <w:tc>
          <w:tcPr>
            <w:tcW w:type="dxa" w:w="2160"/>
          </w:tcPr>
          <w:p>
            <w:r/>
            <w:r>
              <w:rPr>
                <w:sz w:val="17"/>
              </w:rPr>
              <w:t>Mgmt · CA counsel</w:t>
            </w:r>
          </w:p>
        </w:tc>
        <w:tc>
          <w:tcPr>
            <w:tcW w:type="dxa" w:w="2160"/>
          </w:tcPr>
          <w:p>
            <w:r/>
            <w:r>
              <w:rPr>
                <w:sz w:val="17"/>
              </w:rPr>
              <w:t>Blank in agreement</w:t>
            </w:r>
          </w:p>
        </w:tc>
      </w:tr>
      <w:tr>
        <w:tc>
          <w:tcPr>
            <w:tcW w:type="dxa" w:w="2160"/>
          </w:tcPr>
          <w:p>
            <w:r/>
            <w:r>
              <w:rPr>
                <w:sz w:val="17"/>
              </w:rPr>
              <w:t>M-9</w:t>
            </w:r>
          </w:p>
        </w:tc>
        <w:tc>
          <w:tcPr>
            <w:tcW w:type="dxa" w:w="2160"/>
          </w:tcPr>
          <w:p>
            <w:r/>
            <w:r>
              <w:rPr>
                <w:sz w:val="17"/>
              </w:rPr>
              <w:t>ACD pricing model &amp; amounts</w:t>
            </w:r>
          </w:p>
        </w:tc>
        <w:tc>
          <w:tcPr>
            <w:tcW w:type="dxa" w:w="2160"/>
          </w:tcPr>
          <w:p>
            <w:r/>
            <w:r>
              <w:rPr>
                <w:sz w:val="17"/>
              </w:rPr>
              <w:t>Mgmt</w:t>
            </w:r>
          </w:p>
        </w:tc>
        <w:tc>
          <w:tcPr>
            <w:tcW w:type="dxa" w:w="2160"/>
          </w:tcPr>
          <w:p>
            <w:r/>
            <w:r>
              <w:rPr>
                <w:sz w:val="17"/>
              </w:rPr>
              <w:t>Advertised vs supplied</w:t>
            </w:r>
          </w:p>
        </w:tc>
      </w:tr>
      <w:tr>
        <w:tc>
          <w:tcPr>
            <w:tcW w:type="dxa" w:w="2160"/>
          </w:tcPr>
          <w:p>
            <w:r/>
            <w:r>
              <w:rPr>
                <w:sz w:val="17"/>
              </w:rPr>
              <w:t>M-10</w:t>
            </w:r>
          </w:p>
        </w:tc>
        <w:tc>
          <w:tcPr>
            <w:tcW w:type="dxa" w:w="2160"/>
          </w:tcPr>
          <w:p>
            <w:r/>
            <w:r>
              <w:rPr>
                <w:sz w:val="17"/>
              </w:rPr>
              <w:t>Overtime rate &amp; grace (each venue)</w:t>
            </w:r>
          </w:p>
        </w:tc>
        <w:tc>
          <w:tcPr>
            <w:tcW w:type="dxa" w:w="2160"/>
          </w:tcPr>
          <w:p>
            <w:r/>
            <w:r>
              <w:rPr>
                <w:sz w:val="17"/>
              </w:rPr>
              <w:t>Mgmt</w:t>
            </w:r>
          </w:p>
        </w:tc>
        <w:tc>
          <w:tcPr>
            <w:tcW w:type="dxa" w:w="2160"/>
          </w:tcPr>
          <w:p>
            <w:r/>
            <w:r>
              <w:rPr>
                <w:sz w:val="17"/>
              </w:rPr>
              <w:t>Blank</w:t>
            </w:r>
          </w:p>
        </w:tc>
      </w:tr>
      <w:tr>
        <w:tc>
          <w:tcPr>
            <w:tcW w:type="dxa" w:w="2160"/>
          </w:tcPr>
          <w:p>
            <w:r/>
            <w:r>
              <w:rPr>
                <w:sz w:val="17"/>
              </w:rPr>
              <w:t>M-11</w:t>
            </w:r>
          </w:p>
        </w:tc>
        <w:tc>
          <w:tcPr>
            <w:tcW w:type="dxa" w:w="2160"/>
          </w:tcPr>
          <w:p>
            <w:r/>
            <w:r>
              <w:rPr>
                <w:sz w:val="17"/>
              </w:rPr>
              <w:t>CASp status per premises</w:t>
            </w:r>
          </w:p>
        </w:tc>
        <w:tc>
          <w:tcPr>
            <w:tcW w:type="dxa" w:w="2160"/>
          </w:tcPr>
          <w:p>
            <w:r/>
            <w:r>
              <w:rPr>
                <w:sz w:val="17"/>
              </w:rPr>
              <w:t>Mgmt · owner · counsel</w:t>
            </w:r>
          </w:p>
        </w:tc>
        <w:tc>
          <w:tcPr>
            <w:tcW w:type="dxa" w:w="2160"/>
          </w:tcPr>
          <w:p>
            <w:r/>
            <w:r>
              <w:rPr>
                <w:sz w:val="17"/>
              </w:rPr>
              <w:t>§1938</w:t>
            </w:r>
          </w:p>
        </w:tc>
      </w:tr>
      <w:tr>
        <w:tc>
          <w:tcPr>
            <w:tcW w:type="dxa" w:w="2160"/>
          </w:tcPr>
          <w:p>
            <w:r/>
            <w:r>
              <w:rPr>
                <w:sz w:val="17"/>
              </w:rPr>
              <w:t>M-12</w:t>
            </w:r>
          </w:p>
        </w:tc>
        <w:tc>
          <w:tcPr>
            <w:tcW w:type="dxa" w:w="2160"/>
          </w:tcPr>
          <w:p>
            <w:r/>
            <w:r>
              <w:rPr>
                <w:sz w:val="17"/>
              </w:rPr>
              <w:t>ACD insurance, guard ratio, courtyard capacity/weather/sound</w:t>
            </w:r>
          </w:p>
        </w:tc>
        <w:tc>
          <w:tcPr>
            <w:tcW w:type="dxa" w:w="2160"/>
          </w:tcPr>
          <w:p>
            <w:r/>
            <w:r>
              <w:rPr>
                <w:sz w:val="17"/>
              </w:rPr>
              <w:t>Mgmt · broker · fire authority</w:t>
            </w:r>
          </w:p>
        </w:tc>
        <w:tc>
          <w:tcPr>
            <w:tcW w:type="dxa" w:w="2160"/>
          </w:tcPr>
          <w:p>
            <w:r/>
            <w:r>
              <w:rPr>
                <w:sz w:val="17"/>
              </w:rPr>
              <w:t>Missing</w:t>
            </w:r>
          </w:p>
        </w:tc>
      </w:tr>
      <w:tr>
        <w:tc>
          <w:tcPr>
            <w:tcW w:type="dxa" w:w="2160"/>
          </w:tcPr>
          <w:p>
            <w:r/>
            <w:r>
              <w:rPr>
                <w:sz w:val="17"/>
              </w:rPr>
              <w:t>M-13</w:t>
            </w:r>
          </w:p>
        </w:tc>
        <w:tc>
          <w:tcPr>
            <w:tcW w:type="dxa" w:w="2160"/>
          </w:tcPr>
          <w:p>
            <w:r/>
            <w:r>
              <w:rPr>
                <w:sz w:val="17"/>
              </w:rPr>
              <w:t>Applicable sales tax per charge</w:t>
            </w:r>
          </w:p>
        </w:tc>
        <w:tc>
          <w:tcPr>
            <w:tcW w:type="dxa" w:w="2160"/>
          </w:tcPr>
          <w:p>
            <w:r/>
            <w:r>
              <w:rPr>
                <w:sz w:val="17"/>
              </w:rPr>
              <w:t>Accounting · CDTFA</w:t>
            </w:r>
          </w:p>
        </w:tc>
        <w:tc>
          <w:tcPr>
            <w:tcW w:type="dxa" w:w="2160"/>
          </w:tcPr>
          <w:p>
            <w:r/>
            <w:r>
              <w:rPr>
                <w:sz w:val="17"/>
              </w:rPr>
              <w:t>Tax policy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