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0"/>
      </w:pPr>
      <w:r>
        <w:drawing>
          <wp:inline xmlns:a="http://schemas.openxmlformats.org/drawingml/2006/main" xmlns:pic="http://schemas.openxmlformats.org/drawingml/2006/picture">
            <wp:extent cx="2232000" cy="1116000"/>
            <wp:docPr id="1" name="Picture 1"/>
            <wp:cNvGraphicFramePr>
              <a:graphicFrameLocks noChangeAspect="1"/>
            </wp:cNvGraphicFramePr>
            <a:graphic>
              <a:graphicData uri="http://schemas.openxmlformats.org/drawingml/2006/picture">
                <pic:pic>
                  <pic:nvPicPr>
                    <pic:cNvPr id="0" name="saad-logo.png"/>
                    <pic:cNvPicPr/>
                  </pic:nvPicPr>
                  <pic:blipFill>
                    <a:blip r:embed="rId10"/>
                    <a:stretch>
                      <a:fillRect/>
                    </a:stretch>
                  </pic:blipFill>
                  <pic:spPr>
                    <a:xfrm>
                      <a:off x="0" y="0"/>
                      <a:ext cx="2232000" cy="1116000"/>
                    </a:xfrm>
                    <a:prstGeom prst="rect"/>
                  </pic:spPr>
                </pic:pic>
              </a:graphicData>
            </a:graphic>
          </wp:inline>
        </w:drawing>
      </w:r>
    </w:p>
    <w:tbl>
      <w:tblPr>
        <w:tblW w:type="auto" w:w="0"/>
        <w:jc w:val="center"/>
        <w:tblLook w:firstColumn="1" w:firstRow="1" w:lastColumn="0" w:lastRow="0" w:noHBand="0" w:noVBand="1" w:val="04A0"/>
      </w:tblPr>
      <w:tblGrid>
        <w:gridCol w:w="10086"/>
      </w:tblGrid>
      <w:tr>
        <w:tc>
          <w:tcPr>
            <w:tcW w:type="dxa" w:w="10091"/>
            <w:shd w:val="clear" w:color="auto" w:fill="0B4660"/>
          </w:tcPr>
          <w:p>
            <w:pPr>
              <w:spacing w:before="520" w:after="80"/>
              <w:ind w:left="340"/>
            </w:pPr>
            <w:r>
              <w:rPr>
                <w:rFonts w:ascii="Inter" w:hAnsi="Inter" w:cs="Inter" w:eastAsia="Inter"/>
                <w:b/>
                <w:color w:val="EBA845"/>
                <w:sz w:val="18"/>
              </w:rPr>
              <w:t>ARQUITECTURA DE SOFTWARE</w:t>
            </w:r>
          </w:p>
          <w:p>
            <w:pPr>
              <w:spacing w:after="160" w:line="240" w:lineRule="auto"/>
              <w:ind w:left="340" w:right="340"/>
            </w:pPr>
            <w:r>
              <w:rPr>
                <w:rFonts w:ascii="Plus Jakarta Sans" w:hAnsi="Plus Jakarta Sans" w:cs="Plus Jakarta Sans" w:eastAsia="Plus Jakarta Sans"/>
                <w:b/>
                <w:color w:val="FFFFFF"/>
                <w:sz w:val="56"/>
              </w:rPr>
              <w:t>Documento de Arquitectura de Software</w:t>
            </w:r>
          </w:p>
          <w:p>
            <w:pPr>
              <w:spacing w:after="520"/>
              <w:ind w:left="340" w:right="340"/>
            </w:pPr>
            <w:r>
              <w:rPr>
                <w:rFonts w:ascii="Inter" w:hAnsi="Inter" w:cs="Inter" w:eastAsia="Inter"/>
                <w:color w:val="E3F0F8"/>
                <w:sz w:val="23"/>
              </w:rPr>
              <w:t>SAAD — Sistema de Análisis y Anticipación de Demanda de Urgencia en Salud Mental para la Región Metropolitana</w:t>
            </w:r>
          </w:p>
        </w:tc>
      </w:tr>
    </w:tbl>
    <w:p>
      <w:pPr>
        <w:spacing w:after="360"/>
        <w:pBdr>
          <w:bottom w:val="single" w:sz="24" w:space="4" w:color="EBA845"/>
        </w:pBdr>
      </w:pPr>
    </w:p>
    <w:p>
      <w:pPr>
        <w:spacing w:after="280"/>
      </w:pPr>
      <w:r>
        <w:rPr>
          <w:color w:val="5E7685"/>
          <w:sz w:val="20"/>
        </w:rPr>
        <w:t>Capstone APT · Ingeniería en Informática · Duoc UC Antonio Varas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835"/>
            <w:shd w:val="clear" w:color="auto" w:fill="0B4660"/>
          </w:tcPr>
          <w:p>
            <w:pPr>
              <w:keepNext/>
              <w:spacing w:before="40" w:after="40"/>
            </w:pPr>
            <w:r>
              <w:rPr>
                <w:b/>
                <w:color w:val="FFFFFF"/>
                <w:sz w:val="20"/>
              </w:rPr>
              <w:t>Campo</w:t>
            </w:r>
          </w:p>
        </w:tc>
        <w:tc>
          <w:tcPr>
            <w:tcW w:type="dxa" w:w="7200"/>
            <w:shd w:val="clear" w:color="auto" w:fill="0B4660"/>
          </w:tcPr>
          <w:p>
            <w:pPr>
              <w:keepNext/>
              <w:spacing w:before="40" w:after="40"/>
            </w:pPr>
            <w:r>
              <w:rPr>
                <w:b/>
                <w:color w:val="FFFFFF"/>
                <w:sz w:val="20"/>
              </w:rPr>
              <w:t>Detalle</w:t>
            </w:r>
          </w:p>
        </w:tc>
      </w:tr>
      <w:tr>
        <w:trPr>
          <w:cantSplit w:val="true"/>
        </w:trPr>
        <w:tc>
          <w:tcPr>
            <w:tcW w:type="dxa" w:w="2835"/>
          </w:tcPr>
          <w:p>
            <w:pPr>
              <w:spacing w:before="40" w:after="40"/>
            </w:pPr>
            <w:r>
              <w:rPr>
                <w:sz w:val="20"/>
              </w:rPr>
              <w:t>Código del documento</w:t>
            </w:r>
          </w:p>
        </w:tc>
        <w:tc>
          <w:tcPr>
            <w:tcW w:type="dxa" w:w="7200"/>
          </w:tcPr>
          <w:p>
            <w:pPr>
              <w:spacing w:before="40" w:after="40"/>
            </w:pPr>
            <w:r>
              <w:rPr>
                <w:sz w:val="20"/>
              </w:rPr>
              <w:t>DAS-SAAD-2026</w:t>
            </w:r>
          </w:p>
        </w:tc>
      </w:tr>
      <w:tr>
        <w:trPr>
          <w:cantSplit w:val="true"/>
        </w:trPr>
        <w:tc>
          <w:tcPr>
            <w:tcW w:type="dxa" w:w="2835"/>
            <w:shd w:val="clear" w:color="auto" w:fill="EEF3F6"/>
          </w:tcPr>
          <w:p>
            <w:pPr>
              <w:spacing w:before="40" w:after="40"/>
            </w:pPr>
            <w:r>
              <w:rPr>
                <w:sz w:val="20"/>
              </w:rPr>
              <w:t>Versión</w:t>
            </w:r>
          </w:p>
        </w:tc>
        <w:tc>
          <w:tcPr>
            <w:tcW w:type="dxa" w:w="7200"/>
            <w:shd w:val="clear" w:color="auto" w:fill="EEF3F6"/>
          </w:tcPr>
          <w:p>
            <w:pPr>
              <w:spacing w:before="40" w:after="40"/>
            </w:pPr>
            <w:r>
              <w:rPr>
                <w:sz w:val="20"/>
              </w:rPr>
              <w:t>1.0</w:t>
            </w:r>
          </w:p>
        </w:tc>
      </w:tr>
      <w:tr>
        <w:trPr>
          <w:cantSplit w:val="true"/>
        </w:trPr>
        <w:tc>
          <w:tcPr>
            <w:tcW w:type="dxa" w:w="2835"/>
          </w:tcPr>
          <w:p>
            <w:pPr>
              <w:spacing w:before="40" w:after="40"/>
            </w:pPr>
            <w:r>
              <w:rPr>
                <w:sz w:val="20"/>
              </w:rPr>
              <w:t>Fecha de emisión</w:t>
            </w:r>
          </w:p>
        </w:tc>
        <w:tc>
          <w:tcPr>
            <w:tcW w:type="dxa" w:w="7200"/>
          </w:tcPr>
          <w:p>
            <w:pPr>
              <w:spacing w:before="40" w:after="40"/>
            </w:pPr>
            <w:r>
              <w:rPr>
                <w:sz w:val="20"/>
              </w:rPr>
              <w:t>11 de octubre de 2026</w:t>
            </w:r>
          </w:p>
        </w:tc>
      </w:tr>
      <w:tr>
        <w:trPr>
          <w:cantSplit w:val="true"/>
        </w:trPr>
        <w:tc>
          <w:tcPr>
            <w:tcW w:type="dxa" w:w="2835"/>
            <w:shd w:val="clear" w:color="auto" w:fill="EEF3F6"/>
          </w:tcPr>
          <w:p>
            <w:pPr>
              <w:spacing w:before="40" w:after="40"/>
            </w:pPr>
            <w:r>
              <w:rPr>
                <w:sz w:val="20"/>
              </w:rPr>
              <w:t>Estado</w:t>
            </w:r>
          </w:p>
        </w:tc>
        <w:tc>
          <w:tcPr>
            <w:tcW w:type="dxa" w:w="7200"/>
            <w:shd w:val="clear" w:color="auto" w:fill="EEF3F6"/>
          </w:tcPr>
          <w:p>
            <w:pPr>
              <w:spacing w:before="40" w:after="40"/>
            </w:pPr>
            <w:r>
              <w:rPr>
                <w:sz w:val="20"/>
              </w:rPr>
              <w:t>Emitido para revisión de la docente y del equipo</w:t>
            </w:r>
          </w:p>
        </w:tc>
      </w:tr>
      <w:tr>
        <w:trPr>
          <w:cantSplit w:val="true"/>
        </w:trPr>
        <w:tc>
          <w:tcPr>
            <w:tcW w:type="dxa" w:w="2835"/>
          </w:tcPr>
          <w:p>
            <w:pPr>
              <w:spacing w:before="40" w:after="40"/>
            </w:pPr>
            <w:r>
              <w:rPr>
                <w:sz w:val="20"/>
              </w:rPr>
              <w:t>Clasificación</w:t>
            </w:r>
          </w:p>
        </w:tc>
        <w:tc>
          <w:tcPr>
            <w:tcW w:type="dxa" w:w="7200"/>
          </w:tcPr>
          <w:p>
            <w:pPr>
              <w:spacing w:before="40" w:after="40"/>
            </w:pPr>
            <w:r>
              <w:rPr>
                <w:sz w:val="20"/>
              </w:rPr>
              <w:t>Uso académico e interno del equipo de proyecto</w:t>
            </w:r>
          </w:p>
        </w:tc>
      </w:tr>
      <w:tr>
        <w:trPr>
          <w:cantSplit w:val="true"/>
        </w:trPr>
        <w:tc>
          <w:tcPr>
            <w:tcW w:type="dxa" w:w="2835"/>
            <w:shd w:val="clear" w:color="auto" w:fill="EEF3F6"/>
          </w:tcPr>
          <w:p>
            <w:pPr>
              <w:spacing w:before="40" w:after="40"/>
            </w:pPr>
            <w:r>
              <w:rPr>
                <w:sz w:val="20"/>
              </w:rPr>
              <w:t>Marco de referencia</w:t>
            </w:r>
          </w:p>
        </w:tc>
        <w:tc>
          <w:tcPr>
            <w:tcW w:type="dxa" w:w="7200"/>
            <w:shd w:val="clear" w:color="auto" w:fill="EEF3F6"/>
          </w:tcPr>
          <w:p>
            <w:pPr>
              <w:spacing w:before="40" w:after="40"/>
            </w:pPr>
            <w:r>
              <w:rPr>
                <w:sz w:val="20"/>
              </w:rPr>
              <w:t>ISO/IEC/IEEE 42010:2011 (descripción de arquitectura); modelo de vistas 4+1; ISO/IEC 25010 para los atributos de calidad</w:t>
            </w:r>
          </w:p>
        </w:tc>
      </w:tr>
      <w:tr>
        <w:trPr>
          <w:cantSplit w:val="true"/>
        </w:trPr>
        <w:tc>
          <w:tcPr>
            <w:tcW w:type="dxa" w:w="2835"/>
          </w:tcPr>
          <w:p>
            <w:pPr>
              <w:spacing w:before="40" w:after="40"/>
            </w:pPr>
            <w:r>
              <w:rPr>
                <w:sz w:val="20"/>
              </w:rPr>
              <w:t>Elaborado por</w:t>
            </w:r>
          </w:p>
        </w:tc>
        <w:tc>
          <w:tcPr>
            <w:tcW w:type="dxa" w:w="7200"/>
          </w:tcPr>
          <w:p>
            <w:pPr>
              <w:spacing w:before="40" w:after="40"/>
            </w:pPr>
            <w:r>
              <w:rPr>
                <w:sz w:val="20"/>
              </w:rPr>
              <w:t>Equipo SAAD — Camila A., Felipe R., Cristopher R., Catalina</w:t>
            </w:r>
          </w:p>
        </w:tc>
      </w:tr>
      <w:tr>
        <w:trPr>
          <w:cantSplit w:val="true"/>
        </w:trPr>
        <w:tc>
          <w:tcPr>
            <w:tcW w:type="dxa" w:w="2835"/>
            <w:shd w:val="clear" w:color="auto" w:fill="EEF3F6"/>
          </w:tcPr>
          <w:p>
            <w:pPr>
              <w:spacing w:before="40" w:after="40"/>
            </w:pPr>
            <w:r>
              <w:rPr>
                <w:sz w:val="20"/>
              </w:rPr>
              <w:t>Documentos relacionados</w:t>
            </w:r>
          </w:p>
        </w:tc>
        <w:tc>
          <w:tcPr>
            <w:tcW w:type="dxa" w:w="7200"/>
            <w:shd w:val="clear" w:color="auto" w:fill="EEF3F6"/>
          </w:tcPr>
          <w:p>
            <w:pPr>
              <w:spacing w:before="40" w:after="40"/>
            </w:pPr>
            <w:r>
              <w:rPr>
                <w:sz w:val="20"/>
              </w:rPr>
              <w:t>Especificación de Requisitos Funcionales (ERF-SAAD-2026) y No Funcionales (ERNF-SAAD-2026)</w:t>
            </w:r>
          </w:p>
        </w:tc>
      </w:tr>
      <w:tr>
        <w:trPr>
          <w:cantSplit w:val="true"/>
        </w:trPr>
        <w:tc>
          <w:tcPr>
            <w:tcW w:type="dxa" w:w="2835"/>
          </w:tcPr>
          <w:p>
            <w:pPr>
              <w:spacing w:before="40" w:after="40"/>
            </w:pPr>
            <w:r>
              <w:rPr>
                <w:sz w:val="20"/>
              </w:rPr>
              <w:t>Repositorio</w:t>
            </w:r>
          </w:p>
        </w:tc>
        <w:tc>
          <w:tcPr>
            <w:tcW w:type="dxa" w:w="7200"/>
          </w:tcPr>
          <w:p>
            <w:pPr>
              <w:spacing w:before="40" w:after="40"/>
            </w:pPr>
            <w:r>
              <w:rPr>
                <w:sz w:val="20"/>
              </w:rPr>
              <w:t>docs/08-arquitectura/</w:t>
            </w:r>
          </w:p>
        </w:tc>
      </w:tr>
    </w:tbl>
    <w:p>
      <w:pPr>
        <w:spacing w:after="80"/>
      </w:pPr>
    </w:p>
    <w:p>
      <w:r>
        <w:br w:type="page"/>
      </w:r>
    </w:p>
    <w:p>
      <w:pPr>
        <w:pStyle w:val="Heading1"/>
      </w:pPr>
      <w:r>
        <w:t>Control del documento</w:t>
      </w:r>
    </w:p>
    <w:p>
      <w:pPr>
        <w:pStyle w:val="Heading2"/>
      </w:pPr>
      <w:r>
        <w:t>Historial de versiones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1134"/>
            <w:shd w:val="clear" w:color="auto" w:fill="0B4660"/>
          </w:tcPr>
          <w:p>
            <w:pPr>
              <w:keepNext/>
              <w:spacing w:before="40" w:after="40"/>
            </w:pPr>
            <w:r>
              <w:rPr>
                <w:b/>
                <w:color w:val="FFFFFF"/>
                <w:sz w:val="19"/>
              </w:rPr>
              <w:t>Versión</w:t>
            </w:r>
          </w:p>
        </w:tc>
        <w:tc>
          <w:tcPr>
            <w:tcW w:type="dxa" w:w="1474"/>
            <w:shd w:val="clear" w:color="auto" w:fill="0B4660"/>
          </w:tcPr>
          <w:p>
            <w:pPr>
              <w:keepNext/>
              <w:spacing w:before="40" w:after="40"/>
            </w:pPr>
            <w:r>
              <w:rPr>
                <w:b/>
                <w:color w:val="FFFFFF"/>
                <w:sz w:val="19"/>
              </w:rPr>
              <w:t>Fecha</w:t>
            </w:r>
          </w:p>
        </w:tc>
        <w:tc>
          <w:tcPr>
            <w:tcW w:type="dxa" w:w="2041"/>
            <w:shd w:val="clear" w:color="auto" w:fill="0B4660"/>
          </w:tcPr>
          <w:p>
            <w:pPr>
              <w:keepNext/>
              <w:spacing w:before="40" w:after="40"/>
            </w:pPr>
            <w:r>
              <w:rPr>
                <w:b/>
                <w:color w:val="FFFFFF"/>
                <w:sz w:val="19"/>
              </w:rPr>
              <w:t>Autor(es)</w:t>
            </w:r>
          </w:p>
        </w:tc>
        <w:tc>
          <w:tcPr>
            <w:tcW w:type="dxa" w:w="5386"/>
            <w:shd w:val="clear" w:color="auto" w:fill="0B4660"/>
          </w:tcPr>
          <w:p>
            <w:pPr>
              <w:keepNext/>
              <w:spacing w:before="40" w:after="40"/>
            </w:pPr>
            <w:r>
              <w:rPr>
                <w:b/>
                <w:color w:val="FFFFFF"/>
                <w:sz w:val="19"/>
              </w:rPr>
              <w:t>Descripción del cambio</w:t>
            </w:r>
          </w:p>
        </w:tc>
      </w:tr>
      <w:tr>
        <w:trPr>
          <w:cantSplit w:val="true"/>
        </w:trPr>
        <w:tc>
          <w:tcPr>
            <w:tcW w:type="dxa" w:w="1134"/>
          </w:tcPr>
          <w:p>
            <w:pPr>
              <w:spacing w:before="40" w:after="40"/>
            </w:pPr>
            <w:r>
              <w:rPr>
                <w:sz w:val="19"/>
              </w:rPr>
              <w:t>1.0</w:t>
            </w:r>
          </w:p>
        </w:tc>
        <w:tc>
          <w:tcPr>
            <w:tcW w:type="dxa" w:w="1474"/>
          </w:tcPr>
          <w:p>
            <w:pPr>
              <w:spacing w:before="40" w:after="40"/>
            </w:pPr>
            <w:r>
              <w:rPr>
                <w:sz w:val="19"/>
              </w:rPr>
              <w:t>11-10-2026</w:t>
            </w:r>
          </w:p>
        </w:tc>
        <w:tc>
          <w:tcPr>
            <w:tcW w:type="dxa" w:w="2041"/>
          </w:tcPr>
          <w:p>
            <w:pPr>
              <w:spacing w:before="40" w:after="40"/>
            </w:pPr>
            <w:r>
              <w:rPr>
                <w:sz w:val="19"/>
              </w:rPr>
              <w:t>Equipo SAAD</w:t>
            </w:r>
          </w:p>
        </w:tc>
        <w:tc>
          <w:tcPr>
            <w:tcW w:type="dxa" w:w="5386"/>
          </w:tcPr>
          <w:p>
            <w:pPr>
              <w:spacing w:before="40" w:after="40"/>
            </w:pPr>
            <w:r>
              <w:rPr>
                <w:sz w:val="19"/>
              </w:rPr>
              <w:t>Primera versión formal: arquitectura seleccionada, vistas lógica, de datos, de ejecución, de desarrollo y de despliegue, integraciones y API, tecnologías justificadas, decisiones arquitectónicas, respuesta a los atributos de calidad, restricciones y deuda técnica. Verificada contra el código del repositorio.</w:t>
            </w:r>
          </w:p>
        </w:tc>
      </w:tr>
    </w:tbl>
    <w:p>
      <w:pPr>
        <w:spacing w:after="80"/>
      </w:pPr>
    </w:p>
    <w:p>
      <w:pPr>
        <w:pStyle w:val="Heading2"/>
      </w:pPr>
      <w:r>
        <w:t>Revisión y aprobación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2551"/>
            <w:shd w:val="clear" w:color="auto" w:fill="0B4660"/>
          </w:tcPr>
          <w:p>
            <w:pPr>
              <w:keepNext/>
              <w:spacing w:before="40" w:after="40"/>
            </w:pPr>
            <w:r>
              <w:rPr>
                <w:b/>
                <w:color w:val="FFFFFF"/>
                <w:sz w:val="19"/>
              </w:rPr>
              <w:t>Rol</w:t>
            </w:r>
          </w:p>
        </w:tc>
        <w:tc>
          <w:tcPr>
            <w:tcW w:type="dxa" w:w="2835"/>
            <w:shd w:val="clear" w:color="auto" w:fill="0B4660"/>
          </w:tcPr>
          <w:p>
            <w:pPr>
              <w:keepNext/>
              <w:spacing w:before="40" w:after="40"/>
            </w:pPr>
            <w:r>
              <w:rPr>
                <w:b/>
                <w:color w:val="FFFFFF"/>
                <w:sz w:val="19"/>
              </w:rPr>
              <w:t>Nombre</w:t>
            </w:r>
          </w:p>
        </w:tc>
        <w:tc>
          <w:tcPr>
            <w:tcW w:type="dxa" w:w="2948"/>
            <w:shd w:val="clear" w:color="auto" w:fill="0B4660"/>
          </w:tcPr>
          <w:p>
            <w:pPr>
              <w:keepNext/>
              <w:spacing w:before="40" w:after="40"/>
            </w:pPr>
            <w:r>
              <w:rPr>
                <w:b/>
                <w:color w:val="FFFFFF"/>
                <w:sz w:val="19"/>
              </w:rPr>
              <w:t>Estado</w:t>
            </w:r>
          </w:p>
        </w:tc>
        <w:tc>
          <w:tcPr>
            <w:tcW w:type="dxa" w:w="1701"/>
            <w:shd w:val="clear" w:color="auto" w:fill="0B4660"/>
          </w:tcPr>
          <w:p>
            <w:pPr>
              <w:keepNext/>
              <w:spacing w:before="40" w:after="40"/>
            </w:pPr>
            <w:r>
              <w:rPr>
                <w:b/>
                <w:color w:val="FFFFFF"/>
                <w:sz w:val="19"/>
              </w:rPr>
              <w:t>Fecha</w:t>
            </w:r>
          </w:p>
        </w:tc>
      </w:tr>
      <w:tr>
        <w:trPr>
          <w:cantSplit w:val="true"/>
        </w:trPr>
        <w:tc>
          <w:tcPr>
            <w:tcW w:type="dxa" w:w="2551"/>
          </w:tcPr>
          <w:p>
            <w:pPr>
              <w:spacing w:before="40" w:after="40"/>
            </w:pPr>
            <w:r>
              <w:rPr>
                <w:sz w:val="19"/>
              </w:rPr>
              <w:t>Data Scientist (autor)</w:t>
            </w:r>
          </w:p>
        </w:tc>
        <w:tc>
          <w:tcPr>
            <w:tcW w:type="dxa" w:w="2835"/>
          </w:tcPr>
          <w:p>
            <w:pPr>
              <w:spacing w:before="40" w:after="40"/>
            </w:pPr>
            <w:r>
              <w:rPr>
                <w:sz w:val="19"/>
              </w:rPr>
              <w:t>Cristopher R.</w:t>
            </w:r>
          </w:p>
        </w:tc>
        <w:tc>
          <w:tcPr>
            <w:tcW w:type="dxa" w:w="2948"/>
          </w:tcPr>
          <w:p>
            <w:pPr>
              <w:spacing w:before="40" w:after="40"/>
            </w:pPr>
            <w:r>
              <w:rPr>
                <w:sz w:val="19"/>
              </w:rPr>
              <w:t>Emitido para revisión</w:t>
            </w:r>
          </w:p>
        </w:tc>
        <w:tc>
          <w:tcPr>
            <w:tcW w:type="dxa" w:w="1701"/>
          </w:tcPr>
          <w:p>
            <w:pPr>
              <w:spacing w:before="40" w:after="40"/>
            </w:pPr>
            <w:r>
              <w:rPr>
                <w:sz w:val="19"/>
              </w:rPr>
              <w:t>11-10-2026</w:t>
            </w:r>
          </w:p>
        </w:tc>
      </w:tr>
      <w:tr>
        <w:trPr>
          <w:cantSplit w:val="true"/>
        </w:trPr>
        <w:tc>
          <w:tcPr>
            <w:tcW w:type="dxa" w:w="2551"/>
            <w:shd w:val="clear" w:color="auto" w:fill="EEF3F6"/>
          </w:tcPr>
          <w:p>
            <w:pPr>
              <w:spacing w:before="40" w:after="40"/>
            </w:pPr>
            <w:r>
              <w:rPr>
                <w:sz w:val="19"/>
              </w:rPr>
              <w:t>Jefa de Proyecto</w:t>
            </w:r>
          </w:p>
        </w:tc>
        <w:tc>
          <w:tcPr>
            <w:tcW w:type="dxa" w:w="2835"/>
            <w:shd w:val="clear" w:color="auto" w:fill="EEF3F6"/>
          </w:tcPr>
          <w:p>
            <w:pPr>
              <w:spacing w:before="40" w:after="40"/>
            </w:pPr>
            <w:r>
              <w:rPr>
                <w:sz w:val="19"/>
              </w:rPr>
              <w:t>Camila A.</w:t>
            </w:r>
          </w:p>
        </w:tc>
        <w:tc>
          <w:tcPr>
            <w:tcW w:type="dxa" w:w="2948"/>
            <w:shd w:val="clear" w:color="auto" w:fill="EEF3F6"/>
          </w:tcPr>
          <w:p>
            <w:pPr>
              <w:spacing w:before="40" w:after="40"/>
            </w:pPr>
            <w:r>
              <w:rPr>
                <w:sz w:val="19"/>
              </w:rPr>
              <w:t>Pendiente de revisión</w:t>
            </w:r>
          </w:p>
        </w:tc>
        <w:tc>
          <w:tcPr>
            <w:tcW w:type="dxa" w:w="1701"/>
            <w:shd w:val="clear" w:color="auto" w:fill="EEF3F6"/>
          </w:tcPr>
          <w:p>
            <w:pPr>
              <w:spacing w:before="40" w:after="40"/>
            </w:pPr>
            <w:r>
              <w:rPr>
                <w:sz w:val="19"/>
              </w:rPr>
              <w:t>—</w:t>
            </w:r>
          </w:p>
        </w:tc>
      </w:tr>
      <w:tr>
        <w:trPr>
          <w:cantSplit w:val="true"/>
        </w:trPr>
        <w:tc>
          <w:tcPr>
            <w:tcW w:type="dxa" w:w="2551"/>
          </w:tcPr>
          <w:p>
            <w:pPr>
              <w:spacing w:before="40" w:after="40"/>
            </w:pPr>
            <w:r>
              <w:rPr>
                <w:sz w:val="19"/>
              </w:rPr>
              <w:t>Data Engineer</w:t>
            </w:r>
          </w:p>
        </w:tc>
        <w:tc>
          <w:tcPr>
            <w:tcW w:type="dxa" w:w="2835"/>
          </w:tcPr>
          <w:p>
            <w:pPr>
              <w:spacing w:before="40" w:after="40"/>
            </w:pPr>
            <w:r>
              <w:rPr>
                <w:sz w:val="19"/>
              </w:rPr>
              <w:t>Felipe R.</w:t>
            </w:r>
          </w:p>
        </w:tc>
        <w:tc>
          <w:tcPr>
            <w:tcW w:type="dxa" w:w="2948"/>
          </w:tcPr>
          <w:p>
            <w:pPr>
              <w:spacing w:before="40" w:after="40"/>
            </w:pPr>
            <w:r>
              <w:rPr>
                <w:sz w:val="19"/>
              </w:rPr>
              <w:t>Pendiente de revisión</w:t>
            </w:r>
          </w:p>
        </w:tc>
        <w:tc>
          <w:tcPr>
            <w:tcW w:type="dxa" w:w="1701"/>
          </w:tcPr>
          <w:p>
            <w:pPr>
              <w:spacing w:before="40" w:after="40"/>
            </w:pPr>
            <w:r>
              <w:rPr>
                <w:sz w:val="19"/>
              </w:rPr>
              <w:t>—</w:t>
            </w:r>
          </w:p>
        </w:tc>
      </w:tr>
      <w:tr>
        <w:trPr>
          <w:cantSplit w:val="true"/>
        </w:trPr>
        <w:tc>
          <w:tcPr>
            <w:tcW w:type="dxa" w:w="2551"/>
            <w:shd w:val="clear" w:color="auto" w:fill="EEF3F6"/>
          </w:tcPr>
          <w:p>
            <w:pPr>
              <w:spacing w:before="40" w:after="40"/>
            </w:pPr>
            <w:r>
              <w:rPr>
                <w:sz w:val="19"/>
              </w:rPr>
              <w:t>Full Stack / Geoespacial</w:t>
            </w:r>
          </w:p>
        </w:tc>
        <w:tc>
          <w:tcPr>
            <w:tcW w:type="dxa" w:w="2835"/>
            <w:shd w:val="clear" w:color="auto" w:fill="EEF3F6"/>
          </w:tcPr>
          <w:p>
            <w:pPr>
              <w:spacing w:before="40" w:after="40"/>
            </w:pPr>
            <w:r>
              <w:rPr>
                <w:sz w:val="19"/>
              </w:rPr>
              <w:t>Catalina</w:t>
            </w:r>
          </w:p>
        </w:tc>
        <w:tc>
          <w:tcPr>
            <w:tcW w:type="dxa" w:w="2948"/>
            <w:shd w:val="clear" w:color="auto" w:fill="EEF3F6"/>
          </w:tcPr>
          <w:p>
            <w:pPr>
              <w:spacing w:before="40" w:after="40"/>
            </w:pPr>
            <w:r>
              <w:rPr>
                <w:sz w:val="19"/>
              </w:rPr>
              <w:t>Pendiente de revisión</w:t>
            </w:r>
          </w:p>
        </w:tc>
        <w:tc>
          <w:tcPr>
            <w:tcW w:type="dxa" w:w="1701"/>
            <w:shd w:val="clear" w:color="auto" w:fill="EEF3F6"/>
          </w:tcPr>
          <w:p>
            <w:pPr>
              <w:spacing w:before="40" w:after="40"/>
            </w:pPr>
            <w:r>
              <w:rPr>
                <w:sz w:val="19"/>
              </w:rPr>
              <w:t>—</w:t>
            </w:r>
          </w:p>
        </w:tc>
      </w:tr>
      <w:tr>
        <w:trPr>
          <w:cantSplit w:val="true"/>
        </w:trPr>
        <w:tc>
          <w:tcPr>
            <w:tcW w:type="dxa" w:w="2551"/>
          </w:tcPr>
          <w:p>
            <w:pPr>
              <w:spacing w:before="40" w:after="40"/>
            </w:pPr>
            <w:r>
              <w:rPr>
                <w:sz w:val="19"/>
              </w:rPr>
              <w:t>Docente guía</w:t>
            </w:r>
          </w:p>
        </w:tc>
        <w:tc>
          <w:tcPr>
            <w:tcW w:type="dxa" w:w="2835"/>
          </w:tcPr>
          <w:p>
            <w:pPr>
              <w:spacing w:before="40" w:after="40"/>
            </w:pPr>
            <w:r>
              <w:rPr>
                <w:sz w:val="19"/>
              </w:rPr>
              <w:t>Por confirmar</w:t>
            </w:r>
          </w:p>
        </w:tc>
        <w:tc>
          <w:tcPr>
            <w:tcW w:type="dxa" w:w="2948"/>
          </w:tcPr>
          <w:p>
            <w:pPr>
              <w:spacing w:before="40" w:after="40"/>
            </w:pPr>
            <w:r>
              <w:rPr>
                <w:sz w:val="19"/>
              </w:rPr>
              <w:t>Pendiente de validación</w:t>
            </w:r>
          </w:p>
        </w:tc>
        <w:tc>
          <w:tcPr>
            <w:tcW w:type="dxa" w:w="1701"/>
          </w:tcPr>
          <w:p>
            <w:pPr>
              <w:spacing w:before="40" w:after="40"/>
            </w:pPr>
            <w:r>
              <w:rPr>
                <w:sz w:val="19"/>
              </w:rPr>
              <w:t>—</w:t>
            </w:r>
          </w:p>
        </w:tc>
      </w:tr>
    </w:tbl>
    <w:p>
      <w:pPr>
        <w:spacing w:after="80"/>
      </w:pPr>
    </w:p>
    <w:p>
      <w:pPr>
        <w:pStyle w:val="Heading2"/>
      </w:pPr>
      <w:r>
        <w:t>Cómo leer este documento</w:t>
      </w:r>
    </w:p>
    <w:p>
      <w:pPr>
        <w:jc w:val="both"/>
      </w:pPr>
      <w:r>
        <w:rPr>
          <w:sz w:val="21"/>
        </w:rPr>
        <w:t xml:space="preserve">El documento distingue en todo momento tres estados, que también usan las figuras: </w:t>
      </w:r>
      <w:r>
        <w:rPr>
          <w:b/>
          <w:sz w:val="21"/>
        </w:rPr>
        <w:t>implementado</w:t>
      </w:r>
      <w:r>
        <w:rPr>
          <w:sz w:val="21"/>
        </w:rPr>
        <w:t xml:space="preserve"> (existe en el repositorio y fue verificado contra el código), </w:t>
      </w:r>
      <w:r>
        <w:rPr>
          <w:b/>
          <w:sz w:val="21"/>
        </w:rPr>
        <w:t>planificado</w:t>
      </w:r>
      <w:r>
        <w:rPr>
          <w:sz w:val="21"/>
        </w:rPr>
        <w:t xml:space="preserve"> (especificado, aún no construido) y </w:t>
      </w:r>
      <w:r>
        <w:rPr>
          <w:b/>
          <w:sz w:val="21"/>
        </w:rPr>
        <w:t>externo</w:t>
      </w:r>
      <w:r>
        <w:rPr>
          <w:sz w:val="21"/>
        </w:rPr>
        <w:t xml:space="preserve"> (sistemas o fuentes que el proyecto consume pero no controla). Cuando la arquitectura vigente difiere de la arquitectura objetivo declarada en los requisitos, la diferencia se expone como brecha en la sección 12 en lugar de presentarse como resuelta.</w:t>
      </w:r>
    </w:p>
    <w:tbl>
      <w:tblPr>
        <w:tblStyle w:val="TableGrid"/>
        <w:tblW w:type="auto" w:w="0"/>
        <w:tblLook w:firstColumn="1" w:firstRow="1" w:lastColumn="0" w:lastRow="0" w:noHBand="0" w:noVBand="1" w:val="04A0"/>
      </w:tblPr>
      <w:tblGrid>
        <w:gridCol w:w="10086"/>
      </w:tblGrid>
      <w:tr>
        <w:tc>
          <w:tcPr>
            <w:tcW w:type="dxa" w:w="10086"/>
            <w:shd w:val="clear" w:color="auto" w:fill="E3F1EB"/>
          </w:tcPr>
          <w:p>
            <w:pPr>
              <w:spacing w:before="80" w:after="80"/>
            </w:pPr>
            <w:r>
              <w:rPr>
                <w:b/>
                <w:sz w:val="20"/>
              </w:rPr>
              <w:t>Criterio de verdad.</w:t>
            </w:r>
            <w:r>
              <w:rPr>
                <w:sz w:val="20"/>
              </w:rPr>
              <w:t xml:space="preserve"> Ante una contradicción entre este documento y el código, prevalece el código: la arquitectura descrita aquí se obtuvo leyendo </w:t>
            </w:r>
            <w:r>
              <w:rPr>
                <w:rFonts w:ascii="Consolas" w:hAnsi="Consolas"/>
                <w:sz w:val="19"/>
              </w:rPr>
              <w:t>src/</w:t>
            </w:r>
            <w:r>
              <w:rPr>
                <w:sz w:val="20"/>
              </w:rPr>
              <w:t xml:space="preserve">, </w:t>
            </w:r>
            <w:r>
              <w:rPr>
                <w:rFonts w:ascii="Consolas" w:hAnsi="Consolas"/>
                <w:sz w:val="19"/>
              </w:rPr>
              <w:t>scripts/</w:t>
            </w:r>
            <w:r>
              <w:rPr>
                <w:sz w:val="20"/>
              </w:rPr>
              <w:t xml:space="preserve">, </w:t>
            </w:r>
            <w:r>
              <w:rPr>
                <w:rFonts w:ascii="Consolas" w:hAnsi="Consolas"/>
                <w:sz w:val="19"/>
              </w:rPr>
              <w:t>frontend/</w:t>
            </w:r>
            <w:r>
              <w:rPr>
                <w:sz w:val="20"/>
              </w:rPr>
              <w:t xml:space="preserve">, </w:t>
            </w:r>
            <w:r>
              <w:rPr>
                <w:rFonts w:ascii="Consolas" w:hAnsi="Consolas"/>
                <w:sz w:val="19"/>
              </w:rPr>
              <w:t>db/</w:t>
            </w:r>
            <w:r>
              <w:rPr>
                <w:sz w:val="20"/>
              </w:rPr>
              <w:t xml:space="preserve"> y </w:t>
            </w:r>
            <w:r>
              <w:rPr>
                <w:rFonts w:ascii="Consolas" w:hAnsi="Consolas"/>
                <w:sz w:val="19"/>
              </w:rPr>
              <w:t>PIPELINE.md</w:t>
            </w:r>
            <w:r>
              <w:rPr>
                <w:sz w:val="20"/>
              </w:rPr>
              <w:t xml:space="preserve"> en la fecha de emisión. Las cifras (cantidad de etapas, módulos y pruebas) corresponden a esa fecha.</w:t>
            </w:r>
          </w:p>
        </w:tc>
      </w:tr>
    </w:tbl>
    <w:p>
      <w:pPr>
        <w:spacing w:after="40"/>
      </w:pPr>
    </w:p>
    <w:p>
      <w:pPr>
        <w:pStyle w:val="Heading1"/>
        <w:spacing w:before="0"/>
      </w:pPr>
      <w:r>
        <w:t>Tabla de contenidos</w:t>
      </w:r>
    </w:p>
    <w:p>
      <w:r>
        <w:fldChar w:fldCharType="begin"/>
        <w:instrText xml:space="preserve"> TOC \o "1-2" \h \z \u </w:instrText>
        <w:fldChar w:fldCharType="separate"/>
        <w:fldChar w:fldCharType="end"/>
      </w:r>
    </w:p>
    <w:p>
      <w:r>
        <w:rPr>
          <w:i/>
          <w:color w:val="5E7685"/>
          <w:sz w:val="17"/>
        </w:rPr>
        <w:t>Si el índice no se muestra actualizado, seleccionarlo y presionar F9 en Microsoft Word.</w:t>
      </w:r>
    </w:p>
    <w:p>
      <w:r>
        <w:br w:type="page"/>
      </w:r>
    </w:p>
    <w:p>
      <w:pPr>
        <w:pStyle w:val="Heading1"/>
      </w:pPr>
      <w:r>
        <w:t>1. Introducción</w:t>
      </w:r>
    </w:p>
    <w:p>
      <w:pPr>
        <w:pStyle w:val="Heading2"/>
      </w:pPr>
      <w:r>
        <w:t>1.1 Propósito</w:t>
      </w:r>
    </w:p>
    <w:p>
      <w:pPr>
        <w:jc w:val="both"/>
      </w:pPr>
      <w:r>
        <w:rPr>
          <w:sz w:val="21"/>
        </w:rPr>
        <w:t>Este documento describe la arquitectura de software del SAAD: qué estilo se eligió y por qué, qué componentes lo forman, cómo se comunican, sobre qué tecnologías se construye, qué decisiones la condicionan y qué restricciones debe respetar. Sirve como referencia común para el equipo y como evidencia académica de que la solución responde a los requisitos funcionales y no funcionales del proyecto.</w:t>
      </w:r>
    </w:p>
    <w:p>
      <w:pPr>
        <w:pStyle w:val="Heading2"/>
      </w:pPr>
      <w:r>
        <w:t>1.2 Alcance</w:t>
      </w:r>
    </w:p>
    <w:p>
      <w:pPr>
        <w:jc w:val="both"/>
      </w:pPr>
      <w:r>
        <w:rPr>
          <w:sz w:val="21"/>
        </w:rPr>
        <w:t>Cubre el sistema completo del MVP: la ingesta y preparación reproducible de datos oficiales, el modelo de pronóstico de demanda, la interfaz de programación que sirve los resultados y la aplicación web que los presenta. Los componentes del MVP que todavía no están construidos (accesibilidad territorial y análisis de hospitalización) se describen como planificados. Quedan fuera las funcionalidades excluidas del MVP en la sección 1.3 de la ERF, en particular la gestión de pacientes, la gestión de cupos o camas en tiempo real y el apoyo a decisiones clínicas (FA-01 a FA-08).</w:t>
      </w:r>
    </w:p>
    <w:p>
      <w:pPr>
        <w:pStyle w:val="Heading2"/>
      </w:pPr>
      <w:r>
        <w:t>1.3 Audiencia</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948"/>
            <w:shd w:val="clear" w:color="auto" w:fill="0B4660"/>
          </w:tcPr>
          <w:p>
            <w:pPr>
              <w:keepNext/>
              <w:spacing w:before="40" w:after="40"/>
            </w:pPr>
            <w:r>
              <w:rPr>
                <w:b/>
                <w:color w:val="FFFFFF"/>
                <w:sz w:val="19"/>
              </w:rPr>
              <w:t>Lector</w:t>
            </w:r>
          </w:p>
        </w:tc>
        <w:tc>
          <w:tcPr>
            <w:tcW w:type="dxa" w:w="7087"/>
            <w:shd w:val="clear" w:color="auto" w:fill="0B4660"/>
          </w:tcPr>
          <w:p>
            <w:pPr>
              <w:keepNext/>
              <w:spacing w:before="40" w:after="40"/>
            </w:pPr>
            <w:r>
              <w:rPr>
                <w:b/>
                <w:color w:val="FFFFFF"/>
                <w:sz w:val="19"/>
              </w:rPr>
              <w:t>Qué necesita de este documento</w:t>
            </w:r>
          </w:p>
        </w:tc>
      </w:tr>
      <w:tr>
        <w:trPr>
          <w:cantSplit w:val="true"/>
        </w:trPr>
        <w:tc>
          <w:tcPr>
            <w:tcW w:type="dxa" w:w="2948"/>
          </w:tcPr>
          <w:p>
            <w:pPr>
              <w:spacing w:before="40" w:after="40"/>
            </w:pPr>
            <w:r>
              <w:rPr>
                <w:b/>
                <w:sz w:val="19"/>
              </w:rPr>
              <w:t>Equipo de desarrollo</w:t>
            </w:r>
          </w:p>
        </w:tc>
        <w:tc>
          <w:tcPr>
            <w:tcW w:type="dxa" w:w="7087"/>
          </w:tcPr>
          <w:p>
            <w:pPr>
              <w:spacing w:before="40" w:after="40"/>
            </w:pPr>
            <w:r>
              <w:rPr>
                <w:sz w:val="19"/>
              </w:rPr>
              <w:t>Dónde vive cada responsabilidad, qué contratos respetar y qué decisiones ya están tomadas.</w:t>
            </w:r>
          </w:p>
        </w:tc>
      </w:tr>
      <w:tr>
        <w:trPr>
          <w:cantSplit w:val="true"/>
        </w:trPr>
        <w:tc>
          <w:tcPr>
            <w:tcW w:type="dxa" w:w="2948"/>
            <w:shd w:val="clear" w:color="auto" w:fill="EEF3F6"/>
          </w:tcPr>
          <w:p>
            <w:pPr>
              <w:spacing w:before="40" w:after="40"/>
            </w:pPr>
            <w:r>
              <w:rPr>
                <w:b/>
                <w:sz w:val="19"/>
              </w:rPr>
              <w:t>Docente guía y comisión evaluadora</w:t>
            </w:r>
          </w:p>
        </w:tc>
        <w:tc>
          <w:tcPr>
            <w:tcW w:type="dxa" w:w="7087"/>
            <w:shd w:val="clear" w:color="auto" w:fill="EEF3F6"/>
          </w:tcPr>
          <w:p>
            <w:pPr>
              <w:spacing w:before="40" w:after="40"/>
            </w:pPr>
            <w:r>
              <w:rPr>
                <w:sz w:val="19"/>
              </w:rPr>
              <w:t>Evidencia de que la arquitectura es coherente con el sistema real y con los requisitos.</w:t>
            </w:r>
          </w:p>
        </w:tc>
      </w:tr>
      <w:tr>
        <w:trPr>
          <w:cantSplit w:val="true"/>
        </w:trPr>
        <w:tc>
          <w:tcPr>
            <w:tcW w:type="dxa" w:w="2948"/>
          </w:tcPr>
          <w:p>
            <w:pPr>
              <w:spacing w:before="40" w:after="40"/>
            </w:pPr>
            <w:r>
              <w:rPr>
                <w:b/>
                <w:sz w:val="19"/>
              </w:rPr>
              <w:t>Cliente piloto o contraparte técnica</w:t>
            </w:r>
          </w:p>
        </w:tc>
        <w:tc>
          <w:tcPr>
            <w:tcW w:type="dxa" w:w="7087"/>
          </w:tcPr>
          <w:p>
            <w:pPr>
              <w:spacing w:before="40" w:after="40"/>
            </w:pPr>
            <w:r>
              <w:rPr>
                <w:sz w:val="19"/>
              </w:rPr>
              <w:t>Qué consume el sistema, qué expone y bajo qué limitaciones debe interpretarse.</w:t>
            </w:r>
          </w:p>
        </w:tc>
      </w:tr>
      <w:tr>
        <w:trPr>
          <w:cantSplit w:val="true"/>
        </w:trPr>
        <w:tc>
          <w:tcPr>
            <w:tcW w:type="dxa" w:w="2948"/>
            <w:shd w:val="clear" w:color="auto" w:fill="EEF3F6"/>
          </w:tcPr>
          <w:p>
            <w:pPr>
              <w:spacing w:before="40" w:after="40"/>
            </w:pPr>
            <w:r>
              <w:rPr>
                <w:b/>
                <w:sz w:val="19"/>
              </w:rPr>
              <w:t>Quien mantenga el sistema a futuro</w:t>
            </w:r>
          </w:p>
        </w:tc>
        <w:tc>
          <w:tcPr>
            <w:tcW w:type="dxa" w:w="7087"/>
            <w:shd w:val="clear" w:color="auto" w:fill="EEF3F6"/>
          </w:tcPr>
          <w:p>
            <w:pPr>
              <w:spacing w:before="40" w:after="40"/>
            </w:pPr>
            <w:r>
              <w:rPr>
                <w:sz w:val="19"/>
              </w:rPr>
              <w:t>Las razones de cada decisión, para poder revisarlas con fundamento.</w:t>
            </w:r>
          </w:p>
        </w:tc>
      </w:tr>
    </w:tbl>
    <w:p>
      <w:pPr>
        <w:spacing w:after="80"/>
      </w:pPr>
    </w:p>
    <w:p>
      <w:pPr>
        <w:pStyle w:val="Heading2"/>
      </w:pPr>
      <w:r>
        <w:t>1.4 Marco de descripción</w:t>
      </w:r>
    </w:p>
    <w:p>
      <w:pPr>
        <w:jc w:val="both"/>
      </w:pPr>
      <w:r>
        <w:rPr>
          <w:sz w:val="21"/>
        </w:rPr>
        <w:t>La descripción sigue ISO/IEC/IEEE 42010: identifica a los interesados y sus preocupaciones, y responde a ellas mediante vistas. Las vistas se organizan según el modelo 4+1 de Kruchten, adaptado a un sistema centrado en datos: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494"/>
            <w:shd w:val="clear" w:color="auto" w:fill="0B4660"/>
          </w:tcPr>
          <w:p>
            <w:pPr>
              <w:keepNext/>
              <w:spacing w:before="40" w:after="40"/>
            </w:pPr>
            <w:r>
              <w:rPr>
                <w:b/>
                <w:color w:val="FFFFFF"/>
                <w:sz w:val="19"/>
              </w:rPr>
              <w:t>Vista</w:t>
            </w:r>
          </w:p>
        </w:tc>
        <w:tc>
          <w:tcPr>
            <w:tcW w:type="dxa" w:w="5896"/>
            <w:shd w:val="clear" w:color="auto" w:fill="0B4660"/>
          </w:tcPr>
          <w:p>
            <w:pPr>
              <w:keepNext/>
              <w:spacing w:before="40" w:after="40"/>
            </w:pPr>
            <w:r>
              <w:rPr>
                <w:b/>
                <w:color w:val="FFFFFF"/>
                <w:sz w:val="19"/>
              </w:rPr>
              <w:t>Pregunta que responde</w:t>
            </w:r>
          </w:p>
        </w:tc>
        <w:tc>
          <w:tcPr>
            <w:tcW w:type="dxa" w:w="1644"/>
            <w:shd w:val="clear" w:color="auto" w:fill="0B4660"/>
          </w:tcPr>
          <w:p>
            <w:pPr>
              <w:keepNext/>
              <w:spacing w:before="40" w:after="40"/>
            </w:pPr>
            <w:r>
              <w:rPr>
                <w:b/>
                <w:color w:val="FFFFFF"/>
                <w:sz w:val="19"/>
              </w:rPr>
              <w:t>Sección</w:t>
            </w:r>
          </w:p>
        </w:tc>
      </w:tr>
      <w:tr>
        <w:trPr>
          <w:cantSplit w:val="true"/>
        </w:trPr>
        <w:tc>
          <w:tcPr>
            <w:tcW w:type="dxa" w:w="2494"/>
          </w:tcPr>
          <w:p>
            <w:pPr>
              <w:spacing w:before="40" w:after="40"/>
            </w:pPr>
            <w:r>
              <w:rPr>
                <w:b/>
                <w:sz w:val="19"/>
              </w:rPr>
              <w:t>Lógica</w:t>
            </w:r>
          </w:p>
        </w:tc>
        <w:tc>
          <w:tcPr>
            <w:tcW w:type="dxa" w:w="5896"/>
          </w:tcPr>
          <w:p>
            <w:pPr>
              <w:spacing w:before="40" w:after="40"/>
            </w:pPr>
            <w:r>
              <w:rPr>
                <w:sz w:val="19"/>
              </w:rPr>
              <w:t>¿Qué componentes existen y qué responsabilidad tiene cada uno?</w:t>
            </w:r>
          </w:p>
        </w:tc>
        <w:tc>
          <w:tcPr>
            <w:tcW w:type="dxa" w:w="1644"/>
          </w:tcPr>
          <w:p>
            <w:pPr>
              <w:spacing w:before="40" w:after="40"/>
            </w:pPr>
            <w:r>
              <w:rPr>
                <w:sz w:val="19"/>
              </w:rPr>
              <w:t>4</w:t>
            </w:r>
          </w:p>
        </w:tc>
      </w:tr>
      <w:tr>
        <w:trPr>
          <w:cantSplit w:val="true"/>
        </w:trPr>
        <w:tc>
          <w:tcPr>
            <w:tcW w:type="dxa" w:w="2494"/>
            <w:shd w:val="clear" w:color="auto" w:fill="EEF3F6"/>
          </w:tcPr>
          <w:p>
            <w:pPr>
              <w:spacing w:before="40" w:after="40"/>
            </w:pPr>
            <w:r>
              <w:rPr>
                <w:b/>
                <w:sz w:val="19"/>
              </w:rPr>
              <w:t>De datos</w:t>
            </w:r>
          </w:p>
        </w:tc>
        <w:tc>
          <w:tcPr>
            <w:tcW w:type="dxa" w:w="5896"/>
            <w:shd w:val="clear" w:color="auto" w:fill="EEF3F6"/>
          </w:tcPr>
          <w:p>
            <w:pPr>
              <w:spacing w:before="40" w:after="40"/>
            </w:pPr>
            <w:r>
              <w:rPr>
                <w:sz w:val="19"/>
              </w:rPr>
              <w:t>¿Qué datos se almacenan, en qué zonas y con qué garantías?</w:t>
            </w:r>
          </w:p>
        </w:tc>
        <w:tc>
          <w:tcPr>
            <w:tcW w:type="dxa" w:w="1644"/>
            <w:shd w:val="clear" w:color="auto" w:fill="EEF3F6"/>
          </w:tcPr>
          <w:p>
            <w:pPr>
              <w:spacing w:before="40" w:after="40"/>
            </w:pPr>
            <w:r>
              <w:rPr>
                <w:sz w:val="19"/>
              </w:rPr>
              <w:t>5</w:t>
            </w:r>
          </w:p>
        </w:tc>
      </w:tr>
      <w:tr>
        <w:trPr>
          <w:cantSplit w:val="true"/>
        </w:trPr>
        <w:tc>
          <w:tcPr>
            <w:tcW w:type="dxa" w:w="2494"/>
          </w:tcPr>
          <w:p>
            <w:pPr>
              <w:spacing w:before="40" w:after="40"/>
            </w:pPr>
            <w:r>
              <w:rPr>
                <w:b/>
                <w:sz w:val="19"/>
              </w:rPr>
              <w:t>De ejecución (procesos)</w:t>
            </w:r>
          </w:p>
        </w:tc>
        <w:tc>
          <w:tcPr>
            <w:tcW w:type="dxa" w:w="5896"/>
          </w:tcPr>
          <w:p>
            <w:pPr>
              <w:spacing w:before="40" w:after="40"/>
            </w:pPr>
            <w:r>
              <w:rPr>
                <w:sz w:val="19"/>
              </w:rPr>
              <w:t>¿Qué ocurre al correr el pipeline y al atender una consulta?</w:t>
            </w:r>
          </w:p>
        </w:tc>
        <w:tc>
          <w:tcPr>
            <w:tcW w:type="dxa" w:w="1644"/>
          </w:tcPr>
          <w:p>
            <w:pPr>
              <w:spacing w:before="40" w:after="40"/>
            </w:pPr>
            <w:r>
              <w:rPr>
                <w:sz w:val="19"/>
              </w:rPr>
              <w:t>6</w:t>
            </w:r>
          </w:p>
        </w:tc>
      </w:tr>
      <w:tr>
        <w:trPr>
          <w:cantSplit w:val="true"/>
        </w:trPr>
        <w:tc>
          <w:tcPr>
            <w:tcW w:type="dxa" w:w="2494"/>
            <w:shd w:val="clear" w:color="auto" w:fill="EEF3F6"/>
          </w:tcPr>
          <w:p>
            <w:pPr>
              <w:spacing w:before="40" w:after="40"/>
            </w:pPr>
            <w:r>
              <w:rPr>
                <w:b/>
                <w:sz w:val="19"/>
              </w:rPr>
              <w:t>De desarrollo</w:t>
            </w:r>
          </w:p>
        </w:tc>
        <w:tc>
          <w:tcPr>
            <w:tcW w:type="dxa" w:w="5896"/>
            <w:shd w:val="clear" w:color="auto" w:fill="EEF3F6"/>
          </w:tcPr>
          <w:p>
            <w:pPr>
              <w:spacing w:before="40" w:after="40"/>
            </w:pPr>
            <w:r>
              <w:rPr>
                <w:sz w:val="19"/>
              </w:rPr>
              <w:t>¿Cómo se organiza el código y cómo se verifica?</w:t>
            </w:r>
          </w:p>
        </w:tc>
        <w:tc>
          <w:tcPr>
            <w:tcW w:type="dxa" w:w="1644"/>
            <w:shd w:val="clear" w:color="auto" w:fill="EEF3F6"/>
          </w:tcPr>
          <w:p>
            <w:pPr>
              <w:spacing w:before="40" w:after="40"/>
            </w:pPr>
            <w:r>
              <w:rPr>
                <w:sz w:val="19"/>
              </w:rPr>
              <w:t>7</w:t>
            </w:r>
          </w:p>
        </w:tc>
      </w:tr>
      <w:tr>
        <w:trPr>
          <w:cantSplit w:val="true"/>
        </w:trPr>
        <w:tc>
          <w:tcPr>
            <w:tcW w:type="dxa" w:w="2494"/>
          </w:tcPr>
          <w:p>
            <w:pPr>
              <w:spacing w:before="40" w:after="40"/>
            </w:pPr>
            <w:r>
              <w:rPr>
                <w:b/>
                <w:sz w:val="19"/>
              </w:rPr>
              <w:t>De despliegue (física)</w:t>
            </w:r>
          </w:p>
        </w:tc>
        <w:tc>
          <w:tcPr>
            <w:tcW w:type="dxa" w:w="5896"/>
          </w:tcPr>
          <w:p>
            <w:pPr>
              <w:spacing w:before="40" w:after="40"/>
            </w:pPr>
            <w:r>
              <w:rPr>
                <w:sz w:val="19"/>
              </w:rPr>
              <w:t>¿Dónde se ejecuta cada componente?</w:t>
            </w:r>
          </w:p>
        </w:tc>
        <w:tc>
          <w:tcPr>
            <w:tcW w:type="dxa" w:w="1644"/>
          </w:tcPr>
          <w:p>
            <w:pPr>
              <w:spacing w:before="40" w:after="40"/>
            </w:pPr>
            <w:r>
              <w:rPr>
                <w:sz w:val="19"/>
              </w:rPr>
              <w:t>8</w:t>
            </w:r>
          </w:p>
        </w:tc>
      </w:tr>
      <w:tr>
        <w:trPr>
          <w:cantSplit w:val="true"/>
        </w:trPr>
        <w:tc>
          <w:tcPr>
            <w:tcW w:type="dxa" w:w="2494"/>
            <w:shd w:val="clear" w:color="auto" w:fill="EEF3F6"/>
          </w:tcPr>
          <w:p>
            <w:pPr>
              <w:spacing w:before="40" w:after="40"/>
            </w:pPr>
            <w:r>
              <w:rPr>
                <w:b/>
                <w:sz w:val="19"/>
              </w:rPr>
              <w:t>Escenarios (+1)</w:t>
            </w:r>
          </w:p>
        </w:tc>
        <w:tc>
          <w:tcPr>
            <w:tcW w:type="dxa" w:w="5896"/>
            <w:shd w:val="clear" w:color="auto" w:fill="EEF3F6"/>
          </w:tcPr>
          <w:p>
            <w:pPr>
              <w:spacing w:before="40" w:after="40"/>
            </w:pPr>
            <w:r>
              <w:rPr>
                <w:sz w:val="19"/>
              </w:rPr>
              <w:t>¿Qué casos de uso recorren la arquitectura?</w:t>
            </w:r>
          </w:p>
        </w:tc>
        <w:tc>
          <w:tcPr>
            <w:tcW w:type="dxa" w:w="1644"/>
            <w:shd w:val="clear" w:color="auto" w:fill="EEF3F6"/>
          </w:tcPr>
          <w:p>
            <w:pPr>
              <w:spacing w:before="40" w:after="40"/>
            </w:pPr>
            <w:r>
              <w:rPr>
                <w:sz w:val="19"/>
              </w:rPr>
              <w:t>ERF, sección 5</w:t>
            </w:r>
          </w:p>
        </w:tc>
      </w:tr>
    </w:tbl>
    <w:p>
      <w:pPr>
        <w:spacing w:after="80"/>
      </w:pPr>
    </w:p>
    <w:p>
      <w:pPr>
        <w:pStyle w:val="Heading2"/>
      </w:pPr>
      <w:r>
        <w:t>1.5 Definiciones y abreviaturas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041"/>
            <w:shd w:val="clear" w:color="auto" w:fill="0B4660"/>
          </w:tcPr>
          <w:p>
            <w:pPr>
              <w:keepNext/>
              <w:spacing w:before="40" w:after="40"/>
            </w:pPr>
            <w:r>
              <w:rPr>
                <w:b/>
                <w:color w:val="FFFFFF"/>
                <w:sz w:val="19"/>
              </w:rPr>
              <w:t>Término</w:t>
            </w:r>
          </w:p>
        </w:tc>
        <w:tc>
          <w:tcPr>
            <w:tcW w:type="dxa" w:w="7994"/>
            <w:shd w:val="clear" w:color="auto" w:fill="0B4660"/>
          </w:tcPr>
          <w:p>
            <w:pPr>
              <w:keepNext/>
              <w:spacing w:before="40" w:after="40"/>
            </w:pPr>
            <w:r>
              <w:rPr>
                <w:b/>
                <w:color w:val="FFFFFF"/>
                <w:sz w:val="19"/>
              </w:rPr>
              <w:t>Definición</w:t>
            </w:r>
          </w:p>
        </w:tc>
      </w:tr>
      <w:tr>
        <w:trPr>
          <w:cantSplit w:val="true"/>
        </w:trPr>
        <w:tc>
          <w:tcPr>
            <w:tcW w:type="dxa" w:w="2041"/>
          </w:tcPr>
          <w:p>
            <w:pPr>
              <w:spacing w:before="40" w:after="40"/>
            </w:pPr>
            <w:r>
              <w:rPr>
                <w:b/>
                <w:sz w:val="19"/>
              </w:rPr>
              <w:t>API</w:t>
            </w:r>
          </w:p>
        </w:tc>
        <w:tc>
          <w:tcPr>
            <w:tcW w:type="dxa" w:w="7994"/>
          </w:tcPr>
          <w:p>
            <w:pPr>
              <w:spacing w:before="40" w:after="40"/>
            </w:pPr>
            <w:r>
              <w:rPr>
                <w:sz w:val="19"/>
              </w:rPr>
              <w:t>Interfaz de programación de aplicaciones; aquí, el servicio HTTP que entrega los resultados.</w:t>
            </w:r>
          </w:p>
        </w:tc>
      </w:tr>
      <w:tr>
        <w:trPr>
          <w:cantSplit w:val="true"/>
        </w:trPr>
        <w:tc>
          <w:tcPr>
            <w:tcW w:type="dxa" w:w="2041"/>
            <w:shd w:val="clear" w:color="auto" w:fill="EEF3F6"/>
          </w:tcPr>
          <w:p>
            <w:pPr>
              <w:spacing w:before="40" w:after="40"/>
            </w:pPr>
            <w:r>
              <w:rPr>
                <w:b/>
                <w:sz w:val="19"/>
              </w:rPr>
              <w:t>DAG</w:t>
            </w:r>
          </w:p>
        </w:tc>
        <w:tc>
          <w:tcPr>
            <w:tcW w:type="dxa" w:w="7994"/>
            <w:shd w:val="clear" w:color="auto" w:fill="EEF3F6"/>
          </w:tcPr>
          <w:p>
            <w:pPr>
              <w:spacing w:before="40" w:after="40"/>
            </w:pPr>
            <w:r>
              <w:rPr>
                <w:sz w:val="19"/>
              </w:rPr>
              <w:t>Grafo dirigido acíclico: el orden y las dependencias entre las etapas del pipeline.</w:t>
            </w:r>
          </w:p>
        </w:tc>
      </w:tr>
      <w:tr>
        <w:trPr>
          <w:cantSplit w:val="true"/>
        </w:trPr>
        <w:tc>
          <w:tcPr>
            <w:tcW w:type="dxa" w:w="2041"/>
          </w:tcPr>
          <w:p>
            <w:pPr>
              <w:spacing w:before="40" w:after="40"/>
            </w:pPr>
            <w:r>
              <w:rPr>
                <w:b/>
                <w:sz w:val="19"/>
              </w:rPr>
              <w:t>Etapa (stage)</w:t>
            </w:r>
          </w:p>
        </w:tc>
        <w:tc>
          <w:tcPr>
            <w:tcW w:type="dxa" w:w="7994"/>
          </w:tcPr>
          <w:p>
            <w:pPr>
              <w:spacing w:before="40" w:after="40"/>
            </w:pPr>
            <w:r>
              <w:rPr>
                <w:sz w:val="19"/>
              </w:rPr>
              <w:t>Unidad del pipeline con entradas, salidas y validación declaradas.</w:t>
            </w:r>
          </w:p>
        </w:tc>
      </w:tr>
      <w:tr>
        <w:trPr>
          <w:cantSplit w:val="true"/>
        </w:trPr>
        <w:tc>
          <w:tcPr>
            <w:tcW w:type="dxa" w:w="2041"/>
            <w:shd w:val="clear" w:color="auto" w:fill="EEF3F6"/>
          </w:tcPr>
          <w:p>
            <w:pPr>
              <w:spacing w:before="40" w:after="40"/>
            </w:pPr>
            <w:r>
              <w:rPr>
                <w:b/>
                <w:sz w:val="19"/>
              </w:rPr>
              <w:t>Mart</w:t>
            </w:r>
          </w:p>
        </w:tc>
        <w:tc>
          <w:tcPr>
            <w:tcW w:type="dxa" w:w="7994"/>
            <w:shd w:val="clear" w:color="auto" w:fill="EEF3F6"/>
          </w:tcPr>
          <w:p>
            <w:pPr>
              <w:spacing w:before="40" w:after="40"/>
            </w:pPr>
            <w:r>
              <w:rPr>
                <w:sz w:val="19"/>
              </w:rPr>
              <w:t>Tabla analítica ya agregada al grano que consume un análisis o la plataforma.</w:t>
            </w:r>
          </w:p>
        </w:tc>
      </w:tr>
      <w:tr>
        <w:trPr>
          <w:cantSplit w:val="true"/>
        </w:trPr>
        <w:tc>
          <w:tcPr>
            <w:tcW w:type="dxa" w:w="2041"/>
          </w:tcPr>
          <w:p>
            <w:pPr>
              <w:spacing w:before="40" w:after="40"/>
            </w:pPr>
            <w:r>
              <w:rPr>
                <w:b/>
                <w:sz w:val="19"/>
              </w:rPr>
              <w:t>Pipeline</w:t>
            </w:r>
          </w:p>
        </w:tc>
        <w:tc>
          <w:tcPr>
            <w:tcW w:type="dxa" w:w="7994"/>
          </w:tcPr>
          <w:p>
            <w:pPr>
              <w:spacing w:before="40" w:after="40"/>
            </w:pPr>
            <w:r>
              <w:rPr>
                <w:sz w:val="19"/>
              </w:rPr>
              <w:t>Proceso por lotes que transforma las fuentes oficiales en datos y resultados publicables.</w:t>
            </w:r>
          </w:p>
        </w:tc>
      </w:tr>
      <w:tr>
        <w:trPr>
          <w:cantSplit w:val="true"/>
        </w:trPr>
        <w:tc>
          <w:tcPr>
            <w:tcW w:type="dxa" w:w="2041"/>
            <w:shd w:val="clear" w:color="auto" w:fill="EEF3F6"/>
          </w:tcPr>
          <w:p>
            <w:pPr>
              <w:spacing w:before="40" w:after="40"/>
            </w:pPr>
            <w:r>
              <w:rPr>
                <w:b/>
                <w:sz w:val="19"/>
              </w:rPr>
              <w:t>Procedencia</w:t>
            </w:r>
          </w:p>
        </w:tc>
        <w:tc>
          <w:tcPr>
            <w:tcW w:type="dxa" w:w="7994"/>
            <w:shd w:val="clear" w:color="auto" w:fill="EEF3F6"/>
          </w:tcPr>
          <w:p>
            <w:pPr>
              <w:spacing w:before="40" w:after="40"/>
            </w:pPr>
            <w:r>
              <w:rPr>
                <w:sz w:val="19"/>
              </w:rPr>
              <w:t>Registro de dónde, cuándo y con qué huella (SHA256) se obtuvo un archivo fuente.</w:t>
            </w:r>
          </w:p>
        </w:tc>
      </w:tr>
      <w:tr>
        <w:trPr>
          <w:cantSplit w:val="true"/>
        </w:trPr>
        <w:tc>
          <w:tcPr>
            <w:tcW w:type="dxa" w:w="2041"/>
          </w:tcPr>
          <w:p>
            <w:pPr>
              <w:spacing w:before="40" w:after="40"/>
            </w:pPr>
            <w:r>
              <w:rPr>
                <w:b/>
                <w:sz w:val="19"/>
              </w:rPr>
              <w:t>RAW</w:t>
            </w:r>
          </w:p>
        </w:tc>
        <w:tc>
          <w:tcPr>
            <w:tcW w:type="dxa" w:w="7994"/>
          </w:tcPr>
          <w:p>
            <w:pPr>
              <w:spacing w:before="40" w:after="40"/>
            </w:pPr>
            <w:r>
              <w:rPr>
                <w:sz w:val="19"/>
              </w:rPr>
              <w:t>Copia fiel de un archivo fuente, sin modificar (</w:t>
            </w:r>
            <w:r>
              <w:rPr>
                <w:rFonts w:ascii="Consolas" w:hAnsi="Consolas"/>
                <w:sz w:val="19"/>
              </w:rPr>
              <w:t>data/raw/</w:t>
            </w:r>
            <w:r>
              <w:rPr>
                <w:sz w:val="19"/>
              </w:rPr>
              <w:t>).</w:t>
            </w:r>
          </w:p>
        </w:tc>
      </w:tr>
      <w:tr>
        <w:trPr>
          <w:cantSplit w:val="true"/>
        </w:trPr>
        <w:tc>
          <w:tcPr>
            <w:tcW w:type="dxa" w:w="2041"/>
            <w:shd w:val="clear" w:color="auto" w:fill="EEF3F6"/>
          </w:tcPr>
          <w:p>
            <w:pPr>
              <w:spacing w:before="40" w:after="40"/>
            </w:pPr>
            <w:r>
              <w:rPr>
                <w:b/>
                <w:sz w:val="19"/>
              </w:rPr>
              <w:t>SPA</w:t>
            </w:r>
          </w:p>
        </w:tc>
        <w:tc>
          <w:tcPr>
            <w:tcW w:type="dxa" w:w="7994"/>
            <w:shd w:val="clear" w:color="auto" w:fill="EEF3F6"/>
          </w:tcPr>
          <w:p>
            <w:pPr>
              <w:spacing w:before="40" w:after="40"/>
            </w:pPr>
            <w:r>
              <w:rPr>
                <w:sz w:val="19"/>
              </w:rPr>
              <w:t>Aplicación web de una sola página, que se ejecuta en el navegador.</w:t>
            </w:r>
          </w:p>
        </w:tc>
      </w:tr>
      <w:tr>
        <w:trPr>
          <w:cantSplit w:val="true"/>
        </w:trPr>
        <w:tc>
          <w:tcPr>
            <w:tcW w:type="dxa" w:w="2041"/>
          </w:tcPr>
          <w:p>
            <w:pPr>
              <w:spacing w:before="40" w:after="40"/>
            </w:pPr>
            <w:r>
              <w:rPr>
                <w:b/>
                <w:sz w:val="19"/>
              </w:rPr>
              <w:t>Snapshot</w:t>
            </w:r>
          </w:p>
        </w:tc>
        <w:tc>
          <w:tcPr>
            <w:tcW w:type="dxa" w:w="7994"/>
          </w:tcPr>
          <w:p>
            <w:pPr>
              <w:spacing w:before="40" w:after="40"/>
            </w:pPr>
            <w:r>
              <w:rPr>
                <w:sz w:val="19"/>
              </w:rPr>
              <w:t>Estado de una fuente en el momento de su descarga.</w:t>
            </w:r>
          </w:p>
        </w:tc>
      </w:tr>
    </w:tbl>
    <w:p>
      <w:pPr>
        <w:spacing w:after="80"/>
      </w:pPr>
    </w:p>
    <w:p>
      <w:pPr>
        <w:pStyle w:val="Heading2"/>
      </w:pPr>
      <w:r>
        <w:t>1.6 Referencias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494"/>
            <w:shd w:val="clear" w:color="auto" w:fill="0B4660"/>
          </w:tcPr>
          <w:p>
            <w:pPr>
              <w:keepNext/>
              <w:spacing w:before="40" w:after="40"/>
            </w:pPr>
            <w:r>
              <w:rPr>
                <w:b/>
                <w:color w:val="FFFFFF"/>
                <w:sz w:val="19"/>
              </w:rPr>
              <w:t>Código</w:t>
            </w:r>
          </w:p>
        </w:tc>
        <w:tc>
          <w:tcPr>
            <w:tcW w:type="dxa" w:w="7540"/>
            <w:shd w:val="clear" w:color="auto" w:fill="0B4660"/>
          </w:tcPr>
          <w:p>
            <w:pPr>
              <w:keepNext/>
              <w:spacing w:before="40" w:after="40"/>
            </w:pPr>
            <w:r>
              <w:rPr>
                <w:b/>
                <w:color w:val="FFFFFF"/>
                <w:sz w:val="19"/>
              </w:rPr>
              <w:t>Documento</w:t>
            </w:r>
          </w:p>
        </w:tc>
      </w:tr>
      <w:tr>
        <w:trPr>
          <w:cantSplit w:val="true"/>
        </w:trPr>
        <w:tc>
          <w:tcPr>
            <w:tcW w:type="dxa" w:w="2494"/>
          </w:tcPr>
          <w:p>
            <w:pPr>
              <w:spacing w:before="40" w:after="40"/>
            </w:pPr>
            <w:r>
              <w:rPr>
                <w:b/>
                <w:sz w:val="19"/>
              </w:rPr>
              <w:t>DEF-01</w:t>
            </w:r>
          </w:p>
        </w:tc>
        <w:tc>
          <w:tcPr>
            <w:tcW w:type="dxa" w:w="7540"/>
          </w:tcPr>
          <w:p>
            <w:pPr>
              <w:spacing w:before="40" w:after="40"/>
            </w:pPr>
            <w:r>
              <w:rPr>
                <w:sz w:val="19"/>
              </w:rPr>
              <w:t>Documento de Definición de Proyecto APT — Fase 1 (</w:t>
            </w:r>
            <w:r>
              <w:rPr>
                <w:rFonts w:ascii="Consolas" w:hAnsi="Consolas"/>
                <w:sz w:val="19"/>
              </w:rPr>
              <w:t>docs/01-definicion-proyecto/</w:t>
            </w:r>
            <w:r>
              <w:rPr>
                <w:sz w:val="19"/>
              </w:rPr>
              <w:t>).</w:t>
            </w:r>
          </w:p>
        </w:tc>
      </w:tr>
      <w:tr>
        <w:trPr>
          <w:cantSplit w:val="true"/>
        </w:trPr>
        <w:tc>
          <w:tcPr>
            <w:tcW w:type="dxa" w:w="2494"/>
            <w:shd w:val="clear" w:color="auto" w:fill="EEF3F6"/>
          </w:tcPr>
          <w:p>
            <w:pPr>
              <w:spacing w:before="40" w:after="40"/>
            </w:pPr>
            <w:r>
              <w:rPr>
                <w:b/>
                <w:sz w:val="19"/>
              </w:rPr>
              <w:t>ERF-SAAD-2026</w:t>
            </w:r>
          </w:p>
        </w:tc>
        <w:tc>
          <w:tcPr>
            <w:tcW w:type="dxa" w:w="7540"/>
            <w:shd w:val="clear" w:color="auto" w:fill="EEF3F6"/>
          </w:tcPr>
          <w:p>
            <w:pPr>
              <w:spacing w:before="40" w:after="40"/>
            </w:pPr>
            <w:r>
              <w:rPr>
                <w:sz w:val="19"/>
              </w:rPr>
              <w:t>Especificación de Requisitos Funcionales, v1.1 (</w:t>
            </w:r>
            <w:r>
              <w:rPr>
                <w:rFonts w:ascii="Consolas" w:hAnsi="Consolas"/>
                <w:sz w:val="19"/>
              </w:rPr>
              <w:t>docs/06-requisitos/</w:t>
            </w:r>
            <w:r>
              <w:rPr>
                <w:sz w:val="19"/>
              </w:rPr>
              <w:t>).</w:t>
            </w:r>
          </w:p>
        </w:tc>
      </w:tr>
      <w:tr>
        <w:trPr>
          <w:cantSplit w:val="true"/>
        </w:trPr>
        <w:tc>
          <w:tcPr>
            <w:tcW w:type="dxa" w:w="2494"/>
          </w:tcPr>
          <w:p>
            <w:pPr>
              <w:spacing w:before="40" w:after="40"/>
            </w:pPr>
            <w:r>
              <w:rPr>
                <w:b/>
                <w:sz w:val="19"/>
              </w:rPr>
              <w:t>ERNF-SAAD-2026</w:t>
            </w:r>
          </w:p>
        </w:tc>
        <w:tc>
          <w:tcPr>
            <w:tcW w:type="dxa" w:w="7540"/>
          </w:tcPr>
          <w:p>
            <w:pPr>
              <w:spacing w:before="40" w:after="40"/>
            </w:pPr>
            <w:r>
              <w:rPr>
                <w:sz w:val="19"/>
              </w:rPr>
              <w:t>Especificación de Requisitos No Funcionales, v1.0 (</w:t>
            </w:r>
            <w:r>
              <w:rPr>
                <w:rFonts w:ascii="Consolas" w:hAnsi="Consolas"/>
                <w:sz w:val="19"/>
              </w:rPr>
              <w:t>docs/06-requisitos/</w:t>
            </w:r>
            <w:r>
              <w:rPr>
                <w:sz w:val="19"/>
              </w:rPr>
              <w:t>).</w:t>
            </w:r>
          </w:p>
        </w:tc>
      </w:tr>
      <w:tr>
        <w:trPr>
          <w:cantSplit w:val="true"/>
        </w:trPr>
        <w:tc>
          <w:tcPr>
            <w:tcW w:type="dxa" w:w="2494"/>
            <w:shd w:val="clear" w:color="auto" w:fill="EEF3F6"/>
          </w:tcPr>
          <w:p>
            <w:pPr>
              <w:spacing w:before="40" w:after="40"/>
            </w:pPr>
            <w:r>
              <w:rPr>
                <w:b/>
                <w:sz w:val="19"/>
              </w:rPr>
              <w:t>PIPELINE.md</w:t>
            </w:r>
          </w:p>
        </w:tc>
        <w:tc>
          <w:tcPr>
            <w:tcW w:type="dxa" w:w="7540"/>
            <w:shd w:val="clear" w:color="auto" w:fill="EEF3F6"/>
          </w:tcPr>
          <w:p>
            <w:pPr>
              <w:spacing w:before="40" w:after="40"/>
            </w:pPr>
            <w:r>
              <w:rPr>
                <w:sz w:val="19"/>
              </w:rPr>
              <w:t>Fuente de verdad del DAG reproducible: etapas, entradas, salidas y dependencias.</w:t>
            </w:r>
          </w:p>
        </w:tc>
      </w:tr>
      <w:tr>
        <w:trPr>
          <w:cantSplit w:val="true"/>
        </w:trPr>
        <w:tc>
          <w:tcPr>
            <w:tcW w:type="dxa" w:w="2494"/>
          </w:tcPr>
          <w:p>
            <w:pPr>
              <w:spacing w:before="40" w:after="40"/>
            </w:pPr>
            <w:r>
              <w:rPr>
                <w:b/>
                <w:sz w:val="19"/>
              </w:rPr>
              <w:t>PROJECT_CONTEXT.md</w:t>
            </w:r>
          </w:p>
        </w:tc>
        <w:tc>
          <w:tcPr>
            <w:tcW w:type="dxa" w:w="7540"/>
          </w:tcPr>
          <w:p>
            <w:pPr>
              <w:spacing w:before="40" w:after="40"/>
            </w:pPr>
            <w:r>
              <w:rPr>
                <w:sz w:val="19"/>
              </w:rPr>
              <w:t>Estado vigente y decisiones estables del repositorio.</w:t>
            </w:r>
          </w:p>
        </w:tc>
      </w:tr>
      <w:tr>
        <w:trPr>
          <w:cantSplit w:val="true"/>
        </w:trPr>
        <w:tc>
          <w:tcPr>
            <w:tcW w:type="dxa" w:w="2494"/>
            <w:shd w:val="clear" w:color="auto" w:fill="EEF3F6"/>
          </w:tcPr>
          <w:p>
            <w:pPr>
              <w:spacing w:before="40" w:after="40"/>
            </w:pPr>
            <w:r>
              <w:rPr>
                <w:b/>
                <w:sz w:val="19"/>
              </w:rPr>
              <w:t>REG-01</w:t>
            </w:r>
          </w:p>
        </w:tc>
        <w:tc>
          <w:tcPr>
            <w:tcW w:type="dxa" w:w="7540"/>
            <w:shd w:val="clear" w:color="auto" w:fill="EEF3F6"/>
          </w:tcPr>
          <w:p>
            <w:pPr>
              <w:spacing w:before="40" w:after="40"/>
            </w:pPr>
            <w:r>
              <w:rPr>
                <w:sz w:val="19"/>
              </w:rPr>
              <w:t>Reglas de rigor analítico, portabilidad y reproducibilidad (</w:t>
            </w:r>
            <w:r>
              <w:rPr>
                <w:rFonts w:ascii="Consolas" w:hAnsi="Consolas"/>
                <w:sz w:val="19"/>
              </w:rPr>
              <w:t>.agents/rules.md</w:t>
            </w:r>
            <w:r>
              <w:rPr>
                <w:sz w:val="19"/>
              </w:rPr>
              <w:t>).</w:t>
            </w:r>
          </w:p>
        </w:tc>
      </w:tr>
      <w:tr>
        <w:trPr>
          <w:cantSplit w:val="true"/>
        </w:trPr>
        <w:tc>
          <w:tcPr>
            <w:tcW w:type="dxa" w:w="2494"/>
          </w:tcPr>
          <w:p>
            <w:pPr>
              <w:spacing w:before="40" w:after="40"/>
            </w:pPr>
            <w:r>
              <w:rPr>
                <w:b/>
                <w:sz w:val="19"/>
              </w:rPr>
              <w:t>Diagramas</w:t>
            </w:r>
          </w:p>
        </w:tc>
        <w:tc>
          <w:tcPr>
            <w:tcW w:type="dxa" w:w="7540"/>
          </w:tcPr>
          <w:p>
            <w:pPr>
              <w:spacing w:before="40" w:after="40"/>
            </w:pPr>
            <w:r>
              <w:rPr>
                <w:sz w:val="19"/>
              </w:rPr>
              <w:t>Casos de uso, clases y modelo de datos lógico y físico (</w:t>
            </w:r>
            <w:r>
              <w:rPr>
                <w:rFonts w:ascii="Consolas" w:hAnsi="Consolas"/>
                <w:sz w:val="19"/>
              </w:rPr>
              <w:t>docs/07-diagramas/</w:t>
            </w:r>
            <w:r>
              <w:rPr>
                <w:sz w:val="19"/>
              </w:rPr>
              <w:t>).</w:t>
            </w:r>
          </w:p>
        </w:tc>
      </w:tr>
      <w:tr>
        <w:trPr>
          <w:cantSplit w:val="true"/>
        </w:trPr>
        <w:tc>
          <w:tcPr>
            <w:tcW w:type="dxa" w:w="2494"/>
            <w:shd w:val="clear" w:color="auto" w:fill="EEF3F6"/>
          </w:tcPr>
          <w:p>
            <w:pPr>
              <w:spacing w:before="40" w:after="40"/>
            </w:pPr>
            <w:r>
              <w:rPr>
                <w:b/>
                <w:sz w:val="19"/>
              </w:rPr>
              <w:t>DDL</w:t>
            </w:r>
          </w:p>
        </w:tc>
        <w:tc>
          <w:tcPr>
            <w:tcW w:type="dxa" w:w="7540"/>
            <w:shd w:val="clear" w:color="auto" w:fill="EEF3F6"/>
          </w:tcPr>
          <w:p>
            <w:pPr>
              <w:spacing w:before="40" w:after="40"/>
            </w:pPr>
            <w:r>
              <w:rPr>
                <w:sz w:val="19"/>
              </w:rPr>
              <w:t>Diseño físico PostgreSQL/PostGIS (</w:t>
            </w:r>
            <w:r>
              <w:rPr>
                <w:rFonts w:ascii="Consolas" w:hAnsi="Consolas"/>
                <w:sz w:val="19"/>
              </w:rPr>
              <w:t>db/schema_postgresql.sql</w:t>
            </w:r>
            <w:r>
              <w:rPr>
                <w:sz w:val="19"/>
              </w:rPr>
              <w:t>).</w:t>
            </w:r>
          </w:p>
        </w:tc>
      </w:tr>
      <w:tr>
        <w:trPr>
          <w:cantSplit w:val="true"/>
        </w:trPr>
        <w:tc>
          <w:tcPr>
            <w:tcW w:type="dxa" w:w="2494"/>
          </w:tcPr>
          <w:p>
            <w:pPr>
              <w:spacing w:before="40" w:after="40"/>
            </w:pPr>
            <w:r>
              <w:rPr>
                <w:b/>
                <w:sz w:val="19"/>
              </w:rPr>
              <w:t>ISO/IEC/IEEE 42010:2011</w:t>
            </w:r>
          </w:p>
        </w:tc>
        <w:tc>
          <w:tcPr>
            <w:tcW w:type="dxa" w:w="7540"/>
          </w:tcPr>
          <w:p>
            <w:pPr>
              <w:spacing w:before="40" w:after="40"/>
            </w:pPr>
            <w:r>
              <w:rPr>
                <w:sz w:val="19"/>
              </w:rPr>
              <w:t>Systems and software engineering — Architecture description.</w:t>
            </w:r>
          </w:p>
        </w:tc>
      </w:tr>
      <w:tr>
        <w:trPr>
          <w:cantSplit w:val="true"/>
        </w:trPr>
        <w:tc>
          <w:tcPr>
            <w:tcW w:type="dxa" w:w="2494"/>
            <w:shd w:val="clear" w:color="auto" w:fill="EEF3F6"/>
          </w:tcPr>
          <w:p>
            <w:pPr>
              <w:spacing w:before="40" w:after="40"/>
            </w:pPr>
            <w:r>
              <w:rPr>
                <w:b/>
                <w:sz w:val="19"/>
              </w:rPr>
              <w:t>Kruchten (1995)</w:t>
            </w:r>
          </w:p>
        </w:tc>
        <w:tc>
          <w:tcPr>
            <w:tcW w:type="dxa" w:w="7540"/>
            <w:shd w:val="clear" w:color="auto" w:fill="EEF3F6"/>
          </w:tcPr>
          <w:p>
            <w:pPr>
              <w:spacing w:before="40" w:after="40"/>
            </w:pPr>
            <w:r>
              <w:rPr>
                <w:sz w:val="19"/>
              </w:rPr>
              <w:t>The 4+1 View Model of Architecture. IEEE Software 12(6).</w:t>
            </w:r>
          </w:p>
        </w:tc>
      </w:tr>
    </w:tbl>
    <w:p>
      <w:pPr>
        <w:spacing w:after="80"/>
      </w:pPr>
    </w:p>
    <w:p>
      <w:pPr>
        <w:pStyle w:val="Heading1"/>
      </w:pPr>
      <w:r>
        <w:t>2. Contexto y fuerzas que dan forma a la arquitectura</w:t>
      </w:r>
    </w:p>
    <w:p>
      <w:pPr>
        <w:pStyle w:val="Heading2"/>
      </w:pPr>
      <w:r>
        <w:t>2.1 Qué debe lograr el sistema</w:t>
      </w:r>
    </w:p>
    <w:p>
      <w:pPr>
        <w:jc w:val="both"/>
      </w:pPr>
      <w:r>
        <w:rPr>
          <w:sz w:val="21"/>
        </w:rPr>
        <w:t>El SAAD apoya la planificación de la red de urgencia en salud mental de la Región Metropolitana. Para eso anticipa la demanda semanal a un horizonte de 4 a 8 semanas, la muestra por territorio junto a su contexto, y declara siempre su incertidumbre y sus límites de interpretación. No es un tablero descriptivo ni una herramienta clínica: su valor está en anticipar y en hacerlo de forma verificable.</w:t>
      </w:r>
    </w:p>
    <w:p>
      <w:pPr>
        <w:pStyle w:val="Heading2"/>
      </w:pPr>
      <w:r>
        <w:t>2.2 Interesados y sus preocupaciones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211"/>
            <w:shd w:val="clear" w:color="auto" w:fill="0B4660"/>
          </w:tcPr>
          <w:p>
            <w:pPr>
              <w:keepNext/>
              <w:spacing w:before="40" w:after="40"/>
            </w:pPr>
            <w:r>
              <w:rPr>
                <w:b/>
                <w:color w:val="FFFFFF"/>
                <w:sz w:val="18"/>
              </w:rPr>
              <w:t>Interesado</w:t>
            </w:r>
          </w:p>
        </w:tc>
        <w:tc>
          <w:tcPr>
            <w:tcW w:type="dxa" w:w="3345"/>
            <w:shd w:val="clear" w:color="auto" w:fill="0B4660"/>
          </w:tcPr>
          <w:p>
            <w:pPr>
              <w:keepNext/>
              <w:spacing w:before="40" w:after="40"/>
            </w:pPr>
            <w:r>
              <w:rPr>
                <w:b/>
                <w:color w:val="FFFFFF"/>
                <w:sz w:val="18"/>
              </w:rPr>
              <w:t>Preocupación principal</w:t>
            </w:r>
          </w:p>
        </w:tc>
        <w:tc>
          <w:tcPr>
            <w:tcW w:type="dxa" w:w="4479"/>
            <w:shd w:val="clear" w:color="auto" w:fill="0B4660"/>
          </w:tcPr>
          <w:p>
            <w:pPr>
              <w:keepNext/>
              <w:spacing w:before="40" w:after="40"/>
            </w:pPr>
            <w:r>
              <w:rPr>
                <w:b/>
                <w:color w:val="FFFFFF"/>
                <w:sz w:val="18"/>
              </w:rPr>
              <w:t>Cómo responde la arquitectura</w:t>
            </w:r>
          </w:p>
        </w:tc>
      </w:tr>
      <w:tr>
        <w:trPr>
          <w:cantSplit w:val="true"/>
        </w:trPr>
        <w:tc>
          <w:tcPr>
            <w:tcW w:type="dxa" w:w="2211"/>
          </w:tcPr>
          <w:p>
            <w:pPr>
              <w:spacing w:before="40" w:after="40"/>
            </w:pPr>
            <w:r>
              <w:rPr>
                <w:b/>
                <w:sz w:val="18"/>
              </w:rPr>
              <w:t>Gestor o planificador de la red</w:t>
            </w:r>
          </w:p>
        </w:tc>
        <w:tc>
          <w:tcPr>
            <w:tcW w:type="dxa" w:w="3345"/>
          </w:tcPr>
          <w:p>
            <w:pPr>
              <w:spacing w:before="40" w:after="40"/>
            </w:pPr>
            <w:r>
              <w:rPr>
                <w:sz w:val="18"/>
              </w:rPr>
              <w:t>Que las cifras sean correctas, comprensibles y lleguen a tiempo.</w:t>
            </w:r>
          </w:p>
        </w:tc>
        <w:tc>
          <w:tcPr>
            <w:tcW w:type="dxa" w:w="4479"/>
          </w:tcPr>
          <w:p>
            <w:pPr>
              <w:spacing w:before="40" w:after="40"/>
            </w:pPr>
            <w:r>
              <w:rPr>
                <w:sz w:val="18"/>
              </w:rPr>
              <w:t>Resultados precalculados, incertidumbre visible y advertencias de lectura servidas por la API.</w:t>
            </w:r>
          </w:p>
        </w:tc>
      </w:tr>
      <w:tr>
        <w:trPr>
          <w:cantSplit w:val="true"/>
        </w:trPr>
        <w:tc>
          <w:tcPr>
            <w:tcW w:type="dxa" w:w="2211"/>
            <w:shd w:val="clear" w:color="auto" w:fill="EEF3F6"/>
          </w:tcPr>
          <w:p>
            <w:pPr>
              <w:spacing w:before="40" w:after="40"/>
            </w:pPr>
            <w:r>
              <w:rPr>
                <w:b/>
                <w:sz w:val="18"/>
              </w:rPr>
              <w:t>Equipo de datos</w:t>
            </w:r>
          </w:p>
        </w:tc>
        <w:tc>
          <w:tcPr>
            <w:tcW w:type="dxa" w:w="3345"/>
            <w:shd w:val="clear" w:color="auto" w:fill="EEF3F6"/>
          </w:tcPr>
          <w:p>
            <w:pPr>
              <w:spacing w:before="40" w:after="40"/>
            </w:pPr>
            <w:r>
              <w:rPr>
                <w:sz w:val="18"/>
              </w:rPr>
              <w:t>Poder reconstruir cualquier cifra y detectar cuándo una fuente cambió.</w:t>
            </w:r>
          </w:p>
        </w:tc>
        <w:tc>
          <w:tcPr>
            <w:tcW w:type="dxa" w:w="4479"/>
            <w:shd w:val="clear" w:color="auto" w:fill="EEF3F6"/>
          </w:tcPr>
          <w:p>
            <w:pPr>
              <w:spacing w:before="40" w:after="40"/>
            </w:pPr>
            <w:r>
              <w:rPr>
                <w:sz w:val="18"/>
              </w:rPr>
              <w:t>Pipeline reproducible, RAW inmutable con procedencia y contratos de output.</w:t>
            </w:r>
          </w:p>
        </w:tc>
      </w:tr>
      <w:tr>
        <w:trPr>
          <w:cantSplit w:val="true"/>
        </w:trPr>
        <w:tc>
          <w:tcPr>
            <w:tcW w:type="dxa" w:w="2211"/>
          </w:tcPr>
          <w:p>
            <w:pPr>
              <w:spacing w:before="40" w:after="40"/>
            </w:pPr>
            <w:r>
              <w:rPr>
                <w:b/>
                <w:sz w:val="18"/>
              </w:rPr>
              <w:t>Equipo de modelamiento</w:t>
            </w:r>
          </w:p>
        </w:tc>
        <w:tc>
          <w:tcPr>
            <w:tcW w:type="dxa" w:w="3345"/>
          </w:tcPr>
          <w:p>
            <w:pPr>
              <w:spacing w:before="40" w:after="40"/>
            </w:pPr>
            <w:r>
              <w:rPr>
                <w:sz w:val="18"/>
              </w:rPr>
              <w:t>Comparar modelos de forma honesta y servir exactamente lo evaluado.</w:t>
            </w:r>
          </w:p>
        </w:tc>
        <w:tc>
          <w:tcPr>
            <w:tcW w:type="dxa" w:w="4479"/>
          </w:tcPr>
          <w:p>
            <w:pPr>
              <w:spacing w:before="40" w:after="40"/>
            </w:pPr>
            <w:r>
              <w:rPr>
                <w:sz w:val="18"/>
              </w:rPr>
              <w:t>Interfaz única de modelo, registro de configuraciones y selección congelada.</w:t>
            </w:r>
          </w:p>
        </w:tc>
      </w:tr>
      <w:tr>
        <w:trPr>
          <w:cantSplit w:val="true"/>
        </w:trPr>
        <w:tc>
          <w:tcPr>
            <w:tcW w:type="dxa" w:w="2211"/>
            <w:shd w:val="clear" w:color="auto" w:fill="EEF3F6"/>
          </w:tcPr>
          <w:p>
            <w:pPr>
              <w:spacing w:before="40" w:after="40"/>
            </w:pPr>
            <w:r>
              <w:rPr>
                <w:b/>
                <w:sz w:val="18"/>
              </w:rPr>
              <w:t>Equipo de plataforma</w:t>
            </w:r>
          </w:p>
        </w:tc>
        <w:tc>
          <w:tcPr>
            <w:tcW w:type="dxa" w:w="3345"/>
            <w:shd w:val="clear" w:color="auto" w:fill="EEF3F6"/>
          </w:tcPr>
          <w:p>
            <w:pPr>
              <w:spacing w:before="40" w:after="40"/>
            </w:pPr>
            <w:r>
              <w:rPr>
                <w:sz w:val="18"/>
              </w:rPr>
              <w:t>Construir la interfaz sin depender de los detalles del análisis.</w:t>
            </w:r>
          </w:p>
        </w:tc>
        <w:tc>
          <w:tcPr>
            <w:tcW w:type="dxa" w:w="4479"/>
            <w:shd w:val="clear" w:color="auto" w:fill="EEF3F6"/>
          </w:tcPr>
          <w:p>
            <w:pPr>
              <w:spacing w:before="40" w:after="40"/>
            </w:pPr>
            <w:r>
              <w:rPr>
                <w:sz w:val="18"/>
              </w:rPr>
              <w:t>Contrato HTTP/JSON tipado como única vía entre presentación y servicios.</w:t>
            </w:r>
          </w:p>
        </w:tc>
      </w:tr>
      <w:tr>
        <w:trPr>
          <w:cantSplit w:val="true"/>
        </w:trPr>
        <w:tc>
          <w:tcPr>
            <w:tcW w:type="dxa" w:w="2211"/>
          </w:tcPr>
          <w:p>
            <w:pPr>
              <w:spacing w:before="40" w:after="40"/>
            </w:pPr>
            <w:r>
              <w:rPr>
                <w:b/>
                <w:sz w:val="18"/>
              </w:rPr>
              <w:t>Docente y comisión</w:t>
            </w:r>
          </w:p>
        </w:tc>
        <w:tc>
          <w:tcPr>
            <w:tcW w:type="dxa" w:w="3345"/>
          </w:tcPr>
          <w:p>
            <w:pPr>
              <w:spacing w:before="40" w:after="40"/>
            </w:pPr>
            <w:r>
              <w:rPr>
                <w:sz w:val="18"/>
              </w:rPr>
              <w:t>Que lo entregado sea reproducible, probado y trazable a los requisitos.</w:t>
            </w:r>
          </w:p>
        </w:tc>
        <w:tc>
          <w:tcPr>
            <w:tcW w:type="dxa" w:w="4479"/>
          </w:tcPr>
          <w:p>
            <w:pPr>
              <w:spacing w:before="40" w:after="40"/>
            </w:pPr>
            <w:r>
              <w:rPr>
                <w:sz w:val="18"/>
              </w:rPr>
              <w:t>Documentos y figuras generados desde código; pruebas automatizadas por función analítica.</w:t>
            </w:r>
          </w:p>
        </w:tc>
      </w:tr>
    </w:tbl>
    <w:p>
      <w:pPr>
        <w:spacing w:after="80"/>
      </w:pPr>
    </w:p>
    <w:p>
      <w:pPr>
        <w:pStyle w:val="Heading2"/>
      </w:pPr>
      <w:r>
        <w:t>2.3 Atributos de calidad que más pesan</w:t>
      </w:r>
    </w:p>
    <w:p>
      <w:pPr>
        <w:jc w:val="both"/>
      </w:pPr>
      <w:r>
        <w:rPr>
          <w:sz w:val="21"/>
        </w:rPr>
        <w:t>De los requisitos no funcionales, estos son los que determinan decisiones estructurales. La sección 11 detalla cómo se atiende cada uno.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494"/>
            <w:shd w:val="clear" w:color="auto" w:fill="0B4660"/>
          </w:tcPr>
          <w:p>
            <w:pPr>
              <w:keepNext/>
              <w:spacing w:before="40" w:after="40"/>
            </w:pPr>
            <w:r>
              <w:rPr>
                <w:b/>
                <w:color w:val="FFFFFF"/>
                <w:sz w:val="18"/>
              </w:rPr>
              <w:t>Atributo</w:t>
            </w:r>
          </w:p>
        </w:tc>
        <w:tc>
          <w:tcPr>
            <w:tcW w:type="dxa" w:w="2041"/>
            <w:shd w:val="clear" w:color="auto" w:fill="0B4660"/>
          </w:tcPr>
          <w:p>
            <w:pPr>
              <w:keepNext/>
              <w:spacing w:before="40" w:after="40"/>
            </w:pPr>
            <w:r>
              <w:rPr>
                <w:b/>
                <w:color w:val="FFFFFF"/>
                <w:sz w:val="18"/>
              </w:rPr>
              <w:t>Requisito</w:t>
            </w:r>
          </w:p>
        </w:tc>
        <w:tc>
          <w:tcPr>
            <w:tcW w:type="dxa" w:w="5499"/>
            <w:shd w:val="clear" w:color="auto" w:fill="0B4660"/>
          </w:tcPr>
          <w:p>
            <w:pPr>
              <w:keepNext/>
              <w:spacing w:before="40" w:after="40"/>
            </w:pPr>
            <w:r>
              <w:rPr>
                <w:b/>
                <w:color w:val="FFFFFF"/>
                <w:sz w:val="18"/>
              </w:rPr>
              <w:t>Efecto sobre la arquitectura</w:t>
            </w:r>
          </w:p>
        </w:tc>
      </w:tr>
      <w:tr>
        <w:trPr>
          <w:cantSplit w:val="true"/>
        </w:trPr>
        <w:tc>
          <w:tcPr>
            <w:tcW w:type="dxa" w:w="2494"/>
          </w:tcPr>
          <w:p>
            <w:pPr>
              <w:spacing w:before="40" w:after="40"/>
            </w:pPr>
            <w:r>
              <w:rPr>
                <w:b/>
                <w:sz w:val="18"/>
              </w:rPr>
              <w:t>Reproducibilidad y trazabilidad</w:t>
            </w:r>
          </w:p>
        </w:tc>
        <w:tc>
          <w:tcPr>
            <w:tcW w:type="dxa" w:w="2041"/>
          </w:tcPr>
          <w:p>
            <w:pPr>
              <w:spacing w:before="40" w:after="40"/>
            </w:pPr>
            <w:r>
              <w:rPr>
                <w:sz w:val="18"/>
              </w:rPr>
              <w:t>RNF-DAT-007, RN-08</w:t>
            </w:r>
          </w:p>
        </w:tc>
        <w:tc>
          <w:tcPr>
            <w:tcW w:type="dxa" w:w="5499"/>
          </w:tcPr>
          <w:p>
            <w:pPr>
              <w:spacing w:before="40" w:after="40"/>
            </w:pPr>
            <w:r>
              <w:rPr>
                <w:sz w:val="18"/>
              </w:rPr>
              <w:t>Todo resultado sale de un DAG versionado; cada fuente conserva su huella.</w:t>
            </w:r>
          </w:p>
        </w:tc>
      </w:tr>
      <w:tr>
        <w:trPr>
          <w:cantSplit w:val="true"/>
        </w:trPr>
        <w:tc>
          <w:tcPr>
            <w:tcW w:type="dxa" w:w="2494"/>
            <w:shd w:val="clear" w:color="auto" w:fill="EEF3F6"/>
          </w:tcPr>
          <w:p>
            <w:pPr>
              <w:spacing w:before="40" w:after="40"/>
            </w:pPr>
            <w:r>
              <w:rPr>
                <w:b/>
                <w:sz w:val="18"/>
              </w:rPr>
              <w:t>Corrección de las cifras</w:t>
            </w:r>
          </w:p>
        </w:tc>
        <w:tc>
          <w:tcPr>
            <w:tcW w:type="dxa" w:w="2041"/>
            <w:shd w:val="clear" w:color="auto" w:fill="EEF3F6"/>
          </w:tcPr>
          <w:p>
            <w:pPr>
              <w:spacing w:before="40" w:after="40"/>
            </w:pPr>
            <w:r>
              <w:rPr>
                <w:sz w:val="18"/>
              </w:rPr>
              <w:t>RNF-AFU-001, RNF-AFU-005</w:t>
            </w:r>
          </w:p>
        </w:tc>
        <w:tc>
          <w:tcPr>
            <w:tcW w:type="dxa" w:w="5499"/>
            <w:shd w:val="clear" w:color="auto" w:fill="EEF3F6"/>
          </w:tcPr>
          <w:p>
            <w:pPr>
              <w:spacing w:before="40" w:after="40"/>
            </w:pPr>
            <w:r>
              <w:rPr>
                <w:sz w:val="18"/>
              </w:rPr>
              <w:t>Validaciones bloqueantes y reconciliación entre niveles antes de publicar.</w:t>
            </w:r>
          </w:p>
        </w:tc>
      </w:tr>
      <w:tr>
        <w:trPr>
          <w:cantSplit w:val="true"/>
        </w:trPr>
        <w:tc>
          <w:tcPr>
            <w:tcW w:type="dxa" w:w="2494"/>
          </w:tcPr>
          <w:p>
            <w:pPr>
              <w:spacing w:before="40" w:after="40"/>
            </w:pPr>
            <w:r>
              <w:rPr>
                <w:b/>
                <w:sz w:val="18"/>
              </w:rPr>
              <w:t>Mantenibilidad</w:t>
            </w:r>
          </w:p>
        </w:tc>
        <w:tc>
          <w:tcPr>
            <w:tcW w:type="dxa" w:w="2041"/>
          </w:tcPr>
          <w:p>
            <w:pPr>
              <w:spacing w:before="40" w:after="40"/>
            </w:pPr>
            <w:r>
              <w:rPr>
                <w:sz w:val="18"/>
              </w:rPr>
              <w:t>RNF-MAN-001, RNF-MAN-004</w:t>
            </w:r>
          </w:p>
        </w:tc>
        <w:tc>
          <w:tcPr>
            <w:tcW w:type="dxa" w:w="5499"/>
          </w:tcPr>
          <w:p>
            <w:pPr>
              <w:spacing w:before="40" w:after="40"/>
            </w:pPr>
            <w:r>
              <w:rPr>
                <w:sz w:val="18"/>
              </w:rPr>
              <w:t>Capas con dependencia en un solo sentido y prueba por cada función analítica.</w:t>
            </w:r>
          </w:p>
        </w:tc>
      </w:tr>
      <w:tr>
        <w:trPr>
          <w:cantSplit w:val="true"/>
        </w:trPr>
        <w:tc>
          <w:tcPr>
            <w:tcW w:type="dxa" w:w="2494"/>
            <w:shd w:val="clear" w:color="auto" w:fill="EEF3F6"/>
          </w:tcPr>
          <w:p>
            <w:pPr>
              <w:spacing w:before="40" w:after="40"/>
            </w:pPr>
            <w:r>
              <w:rPr>
                <w:b/>
                <w:sz w:val="18"/>
              </w:rPr>
              <w:t>Reemplazabilidad del modelo</w:t>
            </w:r>
          </w:p>
        </w:tc>
        <w:tc>
          <w:tcPr>
            <w:tcW w:type="dxa" w:w="2041"/>
            <w:shd w:val="clear" w:color="auto" w:fill="EEF3F6"/>
          </w:tcPr>
          <w:p>
            <w:pPr>
              <w:spacing w:before="40" w:after="40"/>
            </w:pPr>
            <w:r>
              <w:rPr>
                <w:sz w:val="18"/>
              </w:rPr>
              <w:t>RNF-FLE-005</w:t>
            </w:r>
          </w:p>
        </w:tc>
        <w:tc>
          <w:tcPr>
            <w:tcW w:type="dxa" w:w="5499"/>
            <w:shd w:val="clear" w:color="auto" w:fill="EEF3F6"/>
          </w:tcPr>
          <w:p>
            <w:pPr>
              <w:spacing w:before="40" w:after="40"/>
            </w:pPr>
            <w:r>
              <w:rPr>
                <w:sz w:val="18"/>
              </w:rPr>
              <w:t>Los modelos comparten una interfaz mínima y se instancian desde un registro.</w:t>
            </w:r>
          </w:p>
        </w:tc>
      </w:tr>
      <w:tr>
        <w:trPr>
          <w:cantSplit w:val="true"/>
        </w:trPr>
        <w:tc>
          <w:tcPr>
            <w:tcW w:type="dxa" w:w="2494"/>
          </w:tcPr>
          <w:p>
            <w:pPr>
              <w:spacing w:before="40" w:after="40"/>
            </w:pPr>
            <w:r>
              <w:rPr>
                <w:b/>
                <w:sz w:val="18"/>
              </w:rPr>
              <w:t>Desempeño de consulta</w:t>
            </w:r>
          </w:p>
        </w:tc>
        <w:tc>
          <w:tcPr>
            <w:tcW w:type="dxa" w:w="2041"/>
          </w:tcPr>
          <w:p>
            <w:pPr>
              <w:spacing w:before="40" w:after="40"/>
            </w:pPr>
            <w:r>
              <w:rPr>
                <w:sz w:val="18"/>
              </w:rPr>
              <w:t>RNF-EDE-001, RNF-EDE-002</w:t>
            </w:r>
          </w:p>
        </w:tc>
        <w:tc>
          <w:tcPr>
            <w:tcW w:type="dxa" w:w="5499"/>
          </w:tcPr>
          <w:p>
            <w:pPr>
              <w:spacing w:before="40" w:after="40"/>
            </w:pPr>
            <w:r>
              <w:rPr>
                <w:sz w:val="18"/>
              </w:rPr>
              <w:t>La API no calcula al atender: lee al arrancar y responde desde memoria.</w:t>
            </w:r>
          </w:p>
        </w:tc>
      </w:tr>
      <w:tr>
        <w:trPr>
          <w:cantSplit w:val="true"/>
        </w:trPr>
        <w:tc>
          <w:tcPr>
            <w:tcW w:type="dxa" w:w="2494"/>
            <w:shd w:val="clear" w:color="auto" w:fill="EEF3F6"/>
          </w:tcPr>
          <w:p>
            <w:pPr>
              <w:spacing w:before="40" w:after="40"/>
            </w:pPr>
            <w:r>
              <w:rPr>
                <w:b/>
                <w:sz w:val="18"/>
              </w:rPr>
              <w:t>Degradación controlada</w:t>
            </w:r>
          </w:p>
        </w:tc>
        <w:tc>
          <w:tcPr>
            <w:tcW w:type="dxa" w:w="2041"/>
            <w:shd w:val="clear" w:color="auto" w:fill="EEF3F6"/>
          </w:tcPr>
          <w:p>
            <w:pPr>
              <w:spacing w:before="40" w:after="40"/>
            </w:pPr>
            <w:r>
              <w:rPr>
                <w:sz w:val="18"/>
              </w:rPr>
              <w:t>RNF-FIA-002</w:t>
            </w:r>
          </w:p>
        </w:tc>
        <w:tc>
          <w:tcPr>
            <w:tcW w:type="dxa" w:w="5499"/>
            <w:shd w:val="clear" w:color="auto" w:fill="EEF3F6"/>
          </w:tcPr>
          <w:p>
            <w:pPr>
              <w:spacing w:before="40" w:after="40"/>
            </w:pPr>
            <w:r>
              <w:rPr>
                <w:sz w:val="18"/>
              </w:rPr>
              <w:t>Un dato que aún no está listo se informa como tal; nunca se reemplaza por cero.</w:t>
            </w:r>
          </w:p>
        </w:tc>
      </w:tr>
      <w:tr>
        <w:trPr>
          <w:cantSplit w:val="true"/>
        </w:trPr>
        <w:tc>
          <w:tcPr>
            <w:tcW w:type="dxa" w:w="2494"/>
          </w:tcPr>
          <w:p>
            <w:pPr>
              <w:spacing w:before="40" w:after="40"/>
            </w:pPr>
            <w:r>
              <w:rPr>
                <w:b/>
                <w:sz w:val="18"/>
              </w:rPr>
              <w:t>Uso responsable</w:t>
            </w:r>
          </w:p>
        </w:tc>
        <w:tc>
          <w:tcPr>
            <w:tcW w:type="dxa" w:w="2041"/>
          </w:tcPr>
          <w:p>
            <w:pPr>
              <w:spacing w:before="40" w:after="40"/>
            </w:pPr>
            <w:r>
              <w:rPr>
                <w:sz w:val="18"/>
              </w:rPr>
              <w:t>RNF-USO-001, RNF-USO-004</w:t>
            </w:r>
          </w:p>
        </w:tc>
        <w:tc>
          <w:tcPr>
            <w:tcW w:type="dxa" w:w="5499"/>
          </w:tcPr>
          <w:p>
            <w:pPr>
              <w:spacing w:before="40" w:after="40"/>
            </w:pPr>
            <w:r>
              <w:rPr>
                <w:sz w:val="18"/>
              </w:rPr>
              <w:t>La incertidumbre y las advertencias viajan con los datos, no solo en la interfaz.</w:t>
            </w:r>
          </w:p>
        </w:tc>
      </w:tr>
    </w:tbl>
    <w:p>
      <w:pPr>
        <w:spacing w:after="80"/>
      </w:pPr>
    </w:p>
    <w:p>
      <w:pPr>
        <w:pStyle w:val="Heading2"/>
      </w:pPr>
      <w:r>
        <w:t>2.4 Restricciones que la arquitectura no puede relajar</w:t>
      </w:r>
    </w:p>
    <w:p>
      <w:pPr>
        <w:pStyle w:val="ListBullet"/>
        <w:spacing w:after="60"/>
      </w:pPr>
      <w:r>
        <w:rPr>
          <w:b/>
          <w:sz w:val="21"/>
        </w:rPr>
        <w:t>Datos agregados y disociados.</w:t>
      </w:r>
      <w:r>
        <w:rPr>
          <w:sz w:val="21"/>
        </w:rPr>
        <w:t xml:space="preserve"> El sistema no procesa datos personales (RNF-SEG-001, FA-03).</w:t>
      </w:r>
    </w:p>
    <w:p>
      <w:pPr>
        <w:pStyle w:val="ListBullet"/>
        <w:spacing w:after="60"/>
      </w:pPr>
      <w:r>
        <w:rPr>
          <w:b/>
          <w:sz w:val="21"/>
        </w:rPr>
        <w:t>Relación ecológica entre fuentes.</w:t>
      </w:r>
      <w:r>
        <w:rPr>
          <w:sz w:val="21"/>
        </w:rPr>
        <w:t xml:space="preserve"> Urgencias y Egresos nunca se vinculan por paciente ni por establecimiento; mantienen granularidades separadas (RN-05, RD-02, RD-03).</w:t>
      </w:r>
    </w:p>
    <w:p>
      <w:pPr>
        <w:pStyle w:val="ListBullet"/>
        <w:spacing w:after="60"/>
      </w:pPr>
      <w:r>
        <w:rPr>
          <w:b/>
          <w:sz w:val="21"/>
        </w:rPr>
        <w:t>Consumo por lotes.</w:t>
      </w:r>
      <w:r>
        <w:rPr>
          <w:sz w:val="21"/>
        </w:rPr>
        <w:t xml:space="preserve"> Las fuentes se descargan periódicamente; no hay integración en tiempo real con sistemas hospitalarios (FA-01, FA-08).</w:t>
      </w:r>
    </w:p>
    <w:p>
      <w:pPr>
        <w:pStyle w:val="ListBullet"/>
        <w:spacing w:after="60"/>
      </w:pPr>
      <w:r>
        <w:rPr>
          <w:b/>
          <w:sz w:val="21"/>
        </w:rPr>
        <w:t>Sin presupuesto de infraestructura</w:t>
      </w:r>
      <w:r>
        <w:rPr>
          <w:sz w:val="21"/>
        </w:rPr>
        <w:t xml:space="preserve"> (RO-02) y un equipo de cuatro personas con dedicación parcial (RO-01): la solución debe poder ejecutarse en un computador personal.</w:t>
      </w:r>
    </w:p>
    <w:p>
      <w:pPr>
        <w:pStyle w:val="ListBullet"/>
        <w:spacing w:after="60"/>
      </w:pPr>
      <w:r>
        <w:rPr>
          <w:b/>
          <w:sz w:val="21"/>
        </w:rPr>
        <w:t>Stack definido</w:t>
      </w:r>
      <w:r>
        <w:rPr>
          <w:sz w:val="21"/>
        </w:rPr>
        <w:t xml:space="preserve"> en la definición del proyecto: Python con FastAPI, React, PostgreSQL con PostGIS y Docker Compose (RT-01 a RT-04).</w:t>
      </w:r>
    </w:p>
    <w:p>
      <w:pPr>
        <w:pStyle w:val="Heading1"/>
      </w:pPr>
      <w:r>
        <w:t>3. Arquitectura seleccionada</w:t>
      </w:r>
    </w:p>
    <w:p>
      <w:pPr>
        <w:pStyle w:val="Heading2"/>
      </w:pPr>
      <w:r>
        <w:t>3.1 Estilo</w:t>
      </w:r>
    </w:p>
    <w:p>
      <w:pPr>
        <w:jc w:val="both"/>
      </w:pPr>
      <w:r>
        <w:rPr>
          <w:sz w:val="21"/>
        </w:rPr>
        <w:t xml:space="preserve">El SAAD adopta una </w:t>
      </w:r>
      <w:r>
        <w:rPr>
          <w:b/>
          <w:sz w:val="21"/>
        </w:rPr>
        <w:t>arquitectura por capas con un pipeline de datos por lotes y una capa de servicio de solo lectura</w:t>
      </w:r>
      <w:r>
        <w:rPr>
          <w:sz w:val="21"/>
        </w:rPr>
        <w:t>. La figura 1 muestra sus capas; a continuación se explican las tres partes que las agrupan.</w:t>
      </w:r>
    </w:p>
    <w:p>
      <w:pPr>
        <w:keepNext/>
        <w:spacing w:before="120" w:after="80"/>
        <w:jc w:val="center"/>
      </w:pPr>
      <w:r>
        <w:drawing>
          <wp:inline xmlns:a="http://schemas.openxmlformats.org/drawingml/2006/main" xmlns:pic="http://schemas.openxmlformats.org/drawingml/2006/picture">
            <wp:extent cx="5544000" cy="5720848"/>
            <wp:docPr id="2" name="Picture 2"/>
            <wp:cNvGraphicFramePr>
              <a:graphicFrameLocks noChangeAspect="1"/>
            </wp:cNvGraphicFramePr>
            <a:graphic>
              <a:graphicData uri="http://schemas.openxmlformats.org/drawingml/2006/picture">
                <pic:pic>
                  <pic:nvPicPr>
                    <pic:cNvPr id="0" name="arquitectura_capas.png"/>
                    <pic:cNvPicPr/>
                  </pic:nvPicPr>
                  <pic:blipFill>
                    <a:blip r:embed="rId11"/>
                    <a:stretch>
                      <a:fillRect/>
                    </a:stretch>
                  </pic:blipFill>
                  <pic:spPr>
                    <a:xfrm>
                      <a:off x="0" y="0"/>
                      <a:ext cx="5544000" cy="5720848"/>
                    </a:xfrm>
                    <a:prstGeom prst="rect"/>
                  </pic:spPr>
                </pic:pic>
              </a:graphicData>
            </a:graphic>
          </wp:inline>
        </w:drawing>
      </w:r>
    </w:p>
    <w:p>
      <w:pPr>
        <w:spacing w:after="200"/>
        <w:jc w:val="center"/>
      </w:pPr>
      <w:r>
        <w:rPr>
          <w:b/>
          <w:color w:val="5E7685"/>
          <w:sz w:val="18"/>
        </w:rPr>
        <w:t>Figura 1.</w:t>
      </w:r>
      <w:r>
        <w:rPr>
          <w:color w:val="5E7685"/>
          <w:sz w:val="18"/>
        </w:rPr>
        <w:t xml:space="preserve"> Vista por capas del SAAD. Las flechas indican el sentido en que fluyen los datos; cada capa solo depende de las que tiene encima.</w:t>
      </w:r>
    </w:p>
    <w:p>
      <w:pPr>
        <w:jc w:val="both"/>
      </w:pPr>
      <w:r>
        <w:rPr>
          <w:sz w:val="21"/>
        </w:rPr>
        <w:t>Son tres partes que se ejecutan en momentos distintos y se comunican únicamente a través de artefactos bien definidos:</w:t>
      </w:r>
    </w:p>
    <w:p>
      <w:pPr>
        <w:pStyle w:val="ListNumber"/>
        <w:numPr>
          <w:ilvl w:val="0"/>
          <w:numId w:val="10"/>
        </w:numPr>
        <w:spacing w:after="60"/>
      </w:pPr>
      <w:r>
        <w:rPr>
          <w:sz w:val="21"/>
        </w:rPr>
        <w:t xml:space="preserve">Un </w:t>
      </w:r>
      <w:r>
        <w:rPr>
          <w:b/>
          <w:sz w:val="21"/>
        </w:rPr>
        <w:t>pipeline reproducible</w:t>
      </w:r>
      <w:r>
        <w:rPr>
          <w:sz w:val="21"/>
        </w:rPr>
        <w:t xml:space="preserve"> transforma las fuentes oficiales en datos limpios, marts analíticos, la evaluación del modelo y el pronóstico vigente. Lo ejecuta el equipo, no el usuario final.</w:t>
      </w:r>
    </w:p>
    <w:p>
      <w:pPr>
        <w:pStyle w:val="ListNumber"/>
        <w:numPr>
          <w:ilvl w:val="0"/>
          <w:numId w:val="10"/>
        </w:numPr>
        <w:spacing w:after="60"/>
      </w:pPr>
      <w:r>
        <w:rPr>
          <w:sz w:val="21"/>
        </w:rPr>
        <w:t xml:space="preserve">Una </w:t>
      </w:r>
      <w:r>
        <w:rPr>
          <w:b/>
          <w:sz w:val="21"/>
        </w:rPr>
        <w:t>API REST de solo lectura</w:t>
      </w:r>
      <w:r>
        <w:rPr>
          <w:sz w:val="21"/>
        </w:rPr>
        <w:t xml:space="preserve"> carga esos artefactos al arrancar y los entrega como JSON. No escribe datos ni entrena modelos al atender una consulta.</w:t>
      </w:r>
    </w:p>
    <w:p>
      <w:pPr>
        <w:pStyle w:val="ListNumber"/>
        <w:numPr>
          <w:ilvl w:val="0"/>
          <w:numId w:val="10"/>
        </w:numPr>
        <w:spacing w:after="60"/>
      </w:pPr>
      <w:r>
        <w:rPr>
          <w:sz w:val="21"/>
        </w:rPr>
        <w:t xml:space="preserve">Una </w:t>
      </w:r>
      <w:r>
        <w:rPr>
          <w:b/>
          <w:sz w:val="21"/>
        </w:rPr>
        <w:t>aplicación web</w:t>
      </w:r>
      <w:r>
        <w:rPr>
          <w:sz w:val="21"/>
        </w:rPr>
        <w:t xml:space="preserve"> consume la API y presenta la serie, el mapa comunal y la tabla, con sus advertencias de interpretación.</w:t>
      </w:r>
    </w:p>
    <w:p>
      <w:pPr>
        <w:jc w:val="both"/>
      </w:pPr>
      <w:r>
        <w:rPr>
          <w:sz w:val="21"/>
        </w:rPr>
        <w:t>La dependencia va en un solo sentido: la presentación conoce a la API, la API conoce a los artefactos del pipeline, y el pipeline no conoce a ninguna de las dos. Esa asimetría es la que permite cambiar la interfaz sin tocar el análisis y reemplazar el modelo sin tocar la interfaz.</w:t>
      </w:r>
    </w:p>
    <w:p>
      <w:pPr>
        <w:pStyle w:val="Heading2"/>
      </w:pPr>
      <w:r>
        <w:t>3.2 Por qué este estilo</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3515"/>
            <w:shd w:val="clear" w:color="auto" w:fill="0B4660"/>
          </w:tcPr>
          <w:p>
            <w:pPr>
              <w:keepNext/>
              <w:spacing w:before="40" w:after="40"/>
            </w:pPr>
            <w:r>
              <w:rPr>
                <w:b/>
                <w:color w:val="FFFFFF"/>
                <w:sz w:val="19"/>
              </w:rPr>
              <w:t>Fuerza</w:t>
            </w:r>
          </w:p>
        </w:tc>
        <w:tc>
          <w:tcPr>
            <w:tcW w:type="dxa" w:w="6520"/>
            <w:shd w:val="clear" w:color="auto" w:fill="0B4660"/>
          </w:tcPr>
          <w:p>
            <w:pPr>
              <w:keepNext/>
              <w:spacing w:before="40" w:after="40"/>
            </w:pPr>
            <w:r>
              <w:rPr>
                <w:b/>
                <w:color w:val="FFFFFF"/>
                <w:sz w:val="19"/>
              </w:rPr>
              <w:t>Cómo la resuelve el estilo elegido</w:t>
            </w:r>
          </w:p>
        </w:tc>
      </w:tr>
      <w:tr>
        <w:trPr>
          <w:cantSplit w:val="true"/>
        </w:trPr>
        <w:tc>
          <w:tcPr>
            <w:tcW w:type="dxa" w:w="3515"/>
          </w:tcPr>
          <w:p>
            <w:pPr>
              <w:spacing w:before="40" w:after="40"/>
            </w:pPr>
            <w:r>
              <w:rPr>
                <w:b/>
                <w:sz w:val="19"/>
              </w:rPr>
              <w:t>Las fuentes se publican por lotes y cambian sin aviso</w:t>
            </w:r>
          </w:p>
        </w:tc>
        <w:tc>
          <w:tcPr>
            <w:tcW w:type="dxa" w:w="6520"/>
          </w:tcPr>
          <w:p>
            <w:pPr>
              <w:spacing w:before="40" w:after="40"/>
            </w:pPr>
            <w:r>
              <w:rPr>
                <w:sz w:val="19"/>
              </w:rPr>
              <w:t>El pipeline descarga, valida y registra cada snapshot antes de usarlo; lo ya publicado no se altera.</w:t>
            </w:r>
          </w:p>
        </w:tc>
      </w:tr>
      <w:tr>
        <w:trPr>
          <w:cantSplit w:val="true"/>
        </w:trPr>
        <w:tc>
          <w:tcPr>
            <w:tcW w:type="dxa" w:w="3515"/>
            <w:shd w:val="clear" w:color="auto" w:fill="EEF3F6"/>
          </w:tcPr>
          <w:p>
            <w:pPr>
              <w:spacing w:before="40" w:after="40"/>
            </w:pPr>
            <w:r>
              <w:rPr>
                <w:b/>
                <w:sz w:val="19"/>
              </w:rPr>
              <w:t>Las cifras deben poder reconstruirse</w:t>
            </w:r>
          </w:p>
        </w:tc>
        <w:tc>
          <w:tcPr>
            <w:tcW w:type="dxa" w:w="6520"/>
            <w:shd w:val="clear" w:color="auto" w:fill="EEF3F6"/>
          </w:tcPr>
          <w:p>
            <w:pPr>
              <w:spacing w:before="40" w:after="40"/>
            </w:pPr>
            <w:r>
              <w:rPr>
                <w:sz w:val="19"/>
              </w:rPr>
              <w:t>Cada etapa declara entradas, salidas y validación; el mismo código sobre el mismo snapshot da el mismo resultado.</w:t>
            </w:r>
          </w:p>
        </w:tc>
      </w:tr>
      <w:tr>
        <w:trPr>
          <w:cantSplit w:val="true"/>
        </w:trPr>
        <w:tc>
          <w:tcPr>
            <w:tcW w:type="dxa" w:w="3515"/>
          </w:tcPr>
          <w:p>
            <w:pPr>
              <w:spacing w:before="40" w:after="40"/>
            </w:pPr>
            <w:r>
              <w:rPr>
                <w:b/>
                <w:sz w:val="19"/>
              </w:rPr>
              <w:t>Ajustar el modelo toma segundos a minutos</w:t>
            </w:r>
          </w:p>
        </w:tc>
        <w:tc>
          <w:tcPr>
            <w:tcW w:type="dxa" w:w="6520"/>
          </w:tcPr>
          <w:p>
            <w:pPr>
              <w:spacing w:before="40" w:after="40"/>
            </w:pPr>
            <w:r>
              <w:rPr>
                <w:sz w:val="19"/>
              </w:rPr>
              <w:t>El cálculo ocurre en el pipeline; la consulta solo lee resultados ya calculados.</w:t>
            </w:r>
          </w:p>
        </w:tc>
      </w:tr>
      <w:tr>
        <w:trPr>
          <w:cantSplit w:val="true"/>
        </w:trPr>
        <w:tc>
          <w:tcPr>
            <w:tcW w:type="dxa" w:w="3515"/>
            <w:shd w:val="clear" w:color="auto" w:fill="EEF3F6"/>
          </w:tcPr>
          <w:p>
            <w:pPr>
              <w:spacing w:before="40" w:after="40"/>
            </w:pPr>
            <w:r>
              <w:rPr>
                <w:b/>
                <w:sz w:val="19"/>
              </w:rPr>
              <w:t>El equipo trabaja en paralelo por especialidad</w:t>
            </w:r>
          </w:p>
        </w:tc>
        <w:tc>
          <w:tcPr>
            <w:tcW w:type="dxa" w:w="6520"/>
            <w:shd w:val="clear" w:color="auto" w:fill="EEF3F6"/>
          </w:tcPr>
          <w:p>
            <w:pPr>
              <w:spacing w:before="40" w:after="40"/>
            </w:pPr>
            <w:r>
              <w:rPr>
                <w:sz w:val="19"/>
              </w:rPr>
              <w:t>Cada capa tiene un responsable y un contrato de salida; el trabajo de una no bloquea a la otra.</w:t>
            </w:r>
          </w:p>
        </w:tc>
      </w:tr>
      <w:tr>
        <w:trPr>
          <w:cantSplit w:val="true"/>
        </w:trPr>
        <w:tc>
          <w:tcPr>
            <w:tcW w:type="dxa" w:w="3515"/>
          </w:tcPr>
          <w:p>
            <w:pPr>
              <w:spacing w:before="40" w:after="40"/>
            </w:pPr>
            <w:r>
              <w:rPr>
                <w:b/>
                <w:sz w:val="19"/>
              </w:rPr>
              <w:t>No hay infraestructura pagada</w:t>
            </w:r>
          </w:p>
        </w:tc>
        <w:tc>
          <w:tcPr>
            <w:tcW w:type="dxa" w:w="6520"/>
          </w:tcPr>
          <w:p>
            <w:pPr>
              <w:spacing w:before="40" w:after="40"/>
            </w:pPr>
            <w:r>
              <w:rPr>
                <w:sz w:val="19"/>
              </w:rPr>
              <w:t>Todo corre en un computador personal: archivos locales, un proceso de API y un servidor de desarrollo.</w:t>
            </w:r>
          </w:p>
        </w:tc>
      </w:tr>
    </w:tbl>
    <w:p>
      <w:pPr>
        <w:spacing w:after="80"/>
      </w:pPr>
    </w:p>
    <w:p>
      <w:pPr>
        <w:pStyle w:val="Heading2"/>
      </w:pPr>
      <w:r>
        <w:t>3.3 Alternativas consideradas y descartadas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948"/>
            <w:shd w:val="clear" w:color="auto" w:fill="0B4660"/>
          </w:tcPr>
          <w:p>
            <w:pPr>
              <w:keepNext/>
              <w:spacing w:before="40" w:after="40"/>
            </w:pPr>
            <w:r>
              <w:rPr>
                <w:b/>
                <w:color w:val="FFFFFF"/>
                <w:sz w:val="19"/>
              </w:rPr>
              <w:t>Alternativa</w:t>
            </w:r>
          </w:p>
        </w:tc>
        <w:tc>
          <w:tcPr>
            <w:tcW w:type="dxa" w:w="7087"/>
            <w:shd w:val="clear" w:color="auto" w:fill="0B4660"/>
          </w:tcPr>
          <w:p>
            <w:pPr>
              <w:keepNext/>
              <w:spacing w:before="40" w:after="40"/>
            </w:pPr>
            <w:r>
              <w:rPr>
                <w:b/>
                <w:color w:val="FFFFFF"/>
                <w:sz w:val="19"/>
              </w:rPr>
              <w:t>Por qué no se eligió</w:t>
            </w:r>
          </w:p>
        </w:tc>
      </w:tr>
      <w:tr>
        <w:trPr>
          <w:cantSplit w:val="true"/>
        </w:trPr>
        <w:tc>
          <w:tcPr>
            <w:tcW w:type="dxa" w:w="2948"/>
          </w:tcPr>
          <w:p>
            <w:pPr>
              <w:spacing w:before="40" w:after="40"/>
            </w:pPr>
            <w:r>
              <w:rPr>
                <w:b/>
                <w:sz w:val="19"/>
              </w:rPr>
              <w:t>Microservicios</w:t>
            </w:r>
          </w:p>
        </w:tc>
        <w:tc>
          <w:tcPr>
            <w:tcW w:type="dxa" w:w="7087"/>
          </w:tcPr>
          <w:p>
            <w:pPr>
              <w:spacing w:before="40" w:after="40"/>
            </w:pPr>
            <w:r>
              <w:rPr>
                <w:sz w:val="19"/>
              </w:rPr>
              <w:t>Agregan despliegue, red y observabilidad distribuida para un sistema con un solo flujo de datos, cuatro integrantes y sin infraestructura. No hay cargas que escalar por separado.</w:t>
            </w:r>
          </w:p>
        </w:tc>
      </w:tr>
      <w:tr>
        <w:trPr>
          <w:cantSplit w:val="true"/>
        </w:trPr>
        <w:tc>
          <w:tcPr>
            <w:tcW w:type="dxa" w:w="2948"/>
            <w:shd w:val="clear" w:color="auto" w:fill="EEF3F6"/>
          </w:tcPr>
          <w:p>
            <w:pPr>
              <w:spacing w:before="40" w:after="40"/>
            </w:pPr>
            <w:r>
              <w:rPr>
                <w:b/>
                <w:sz w:val="19"/>
              </w:rPr>
              <w:t>Procesamiento en tiempo real (streaming)</w:t>
            </w:r>
          </w:p>
        </w:tc>
        <w:tc>
          <w:tcPr>
            <w:tcW w:type="dxa" w:w="7087"/>
            <w:shd w:val="clear" w:color="auto" w:fill="EEF3F6"/>
          </w:tcPr>
          <w:p>
            <w:pPr>
              <w:spacing w:before="40" w:after="40"/>
            </w:pPr>
            <w:r>
              <w:rPr>
                <w:sz w:val="19"/>
              </w:rPr>
              <w:t>Las fuentes oficiales se publican como archivos periódicos; no existe un flujo continuo que consumir, y la integración en línea está fuera del alcance (FA-08).</w:t>
            </w:r>
          </w:p>
        </w:tc>
      </w:tr>
      <w:tr>
        <w:trPr>
          <w:cantSplit w:val="true"/>
        </w:trPr>
        <w:tc>
          <w:tcPr>
            <w:tcW w:type="dxa" w:w="2948"/>
          </w:tcPr>
          <w:p>
            <w:pPr>
              <w:spacing w:before="40" w:after="40"/>
            </w:pPr>
            <w:r>
              <w:rPr>
                <w:b/>
                <w:sz w:val="19"/>
              </w:rPr>
              <w:t>Base de datos como almacenamiento primario desde el inicio</w:t>
            </w:r>
          </w:p>
        </w:tc>
        <w:tc>
          <w:tcPr>
            <w:tcW w:type="dxa" w:w="7087"/>
          </w:tcPr>
          <w:p>
            <w:pPr>
              <w:spacing w:before="40" w:after="40"/>
            </w:pPr>
            <w:r>
              <w:rPr>
                <w:sz w:val="19"/>
              </w:rPr>
              <w:t>Obliga a mantener un servidor y una carga de datos antes de saber qué tablas necesita el producto. Los archivos Parquet dan lo mismo para leer y son reproducibles desde Git. PostgreSQL/PostGIS queda como capa de servicio planificada (sección 5.4).</w:t>
            </w:r>
          </w:p>
        </w:tc>
      </w:tr>
      <w:tr>
        <w:trPr>
          <w:cantSplit w:val="true"/>
        </w:trPr>
        <w:tc>
          <w:tcPr>
            <w:tcW w:type="dxa" w:w="2948"/>
            <w:shd w:val="clear" w:color="auto" w:fill="EEF3F6"/>
          </w:tcPr>
          <w:p>
            <w:pPr>
              <w:spacing w:before="40" w:after="40"/>
            </w:pPr>
            <w:r>
              <w:rPr>
                <w:b/>
                <w:sz w:val="19"/>
              </w:rPr>
              <w:t>Herramienta de inteligencia de negocios como producto</w:t>
            </w:r>
          </w:p>
        </w:tc>
        <w:tc>
          <w:tcPr>
            <w:tcW w:type="dxa" w:w="7087"/>
            <w:shd w:val="clear" w:color="auto" w:fill="EEF3F6"/>
          </w:tcPr>
          <w:p>
            <w:pPr>
              <w:spacing w:before="40" w:after="40"/>
            </w:pPr>
            <w:r>
              <w:rPr>
                <w:sz w:val="19"/>
              </w:rPr>
              <w:t>Reduce el producto a un tablero descriptivo, lo que las reglas del proyecto excluyen, y no permite controlar cómo se comunican la incertidumbre y las advertencias.</w:t>
            </w:r>
          </w:p>
        </w:tc>
      </w:tr>
      <w:tr>
        <w:trPr>
          <w:cantSplit w:val="true"/>
        </w:trPr>
        <w:tc>
          <w:tcPr>
            <w:tcW w:type="dxa" w:w="2948"/>
          </w:tcPr>
          <w:p>
            <w:pPr>
              <w:spacing w:before="40" w:after="40"/>
            </w:pPr>
            <w:r>
              <w:rPr>
                <w:b/>
                <w:sz w:val="19"/>
              </w:rPr>
              <w:t>Entrenar el modelo dentro de la API</w:t>
            </w:r>
          </w:p>
        </w:tc>
        <w:tc>
          <w:tcPr>
            <w:tcW w:type="dxa" w:w="7087"/>
          </w:tcPr>
          <w:p>
            <w:pPr>
              <w:spacing w:before="40" w:after="40"/>
            </w:pPr>
            <w:r>
              <w:rPr>
                <w:sz w:val="19"/>
              </w:rPr>
              <w:t>Haría depender el tiempo de respuesta del ajuste del modelo y permitiría servir una configuración distinta de la evaluada.</w:t>
            </w:r>
          </w:p>
        </w:tc>
      </w:tr>
    </w:tbl>
    <w:p>
      <w:pPr>
        <w:spacing w:after="80"/>
      </w:pPr>
    </w:p>
    <w:p>
      <w:pPr>
        <w:pStyle w:val="Heading1"/>
      </w:pPr>
      <w:r>
        <w:t>4. Vista lógica: componentes</w:t>
      </w:r>
    </w:p>
    <w:p>
      <w:pPr>
        <w:jc w:val="both"/>
      </w:pPr>
      <w:r>
        <w:rPr>
          <w:sz w:val="21"/>
        </w:rPr>
        <w:t>La tabla define los componentes principales, dónde viven en el repositorio y en qué estado se encuentran a la fecha de emisión.</w:t>
      </w:r>
    </w:p>
    <w:p>
      <w:pPr>
        <w:pStyle w:val="Heading2"/>
      </w:pPr>
      <w:r>
        <w:t>4.1 Capa de datos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1928"/>
            <w:shd w:val="clear" w:color="auto" w:fill="0B4660"/>
          </w:tcPr>
          <w:p>
            <w:pPr>
              <w:keepNext/>
              <w:spacing w:before="40" w:after="40"/>
            </w:pPr>
            <w:r>
              <w:rPr>
                <w:b/>
                <w:color w:val="FFFFFF"/>
                <w:sz w:val="17"/>
              </w:rPr>
              <w:t>Componente</w:t>
            </w:r>
          </w:p>
        </w:tc>
        <w:tc>
          <w:tcPr>
            <w:tcW w:type="dxa" w:w="4139"/>
            <w:shd w:val="clear" w:color="auto" w:fill="0B4660"/>
          </w:tcPr>
          <w:p>
            <w:pPr>
              <w:keepNext/>
              <w:spacing w:before="40" w:after="40"/>
            </w:pPr>
            <w:r>
              <w:rPr>
                <w:b/>
                <w:color w:val="FFFFFF"/>
                <w:sz w:val="17"/>
              </w:rPr>
              <w:t>Responsabilidad</w:t>
            </w:r>
          </w:p>
        </w:tc>
        <w:tc>
          <w:tcPr>
            <w:tcW w:type="dxa" w:w="2608"/>
            <w:shd w:val="clear" w:color="auto" w:fill="0B4660"/>
          </w:tcPr>
          <w:p>
            <w:pPr>
              <w:keepNext/>
              <w:spacing w:before="40" w:after="40"/>
            </w:pPr>
            <w:r>
              <w:rPr>
                <w:b/>
                <w:color w:val="FFFFFF"/>
                <w:sz w:val="17"/>
              </w:rPr>
              <w:t>Ubicación</w:t>
            </w:r>
          </w:p>
        </w:tc>
        <w:tc>
          <w:tcPr>
            <w:tcW w:type="dxa" w:w="1361"/>
            <w:shd w:val="clear" w:color="auto" w:fill="0B4660"/>
          </w:tcPr>
          <w:p>
            <w:pPr>
              <w:keepNext/>
              <w:spacing w:before="40" w:after="40"/>
            </w:pPr>
            <w:r>
              <w:rPr>
                <w:b/>
                <w:color w:val="FFFFFF"/>
                <w:sz w:val="17"/>
              </w:rPr>
              <w:t>Estado</w:t>
            </w:r>
          </w:p>
        </w:tc>
      </w:tr>
      <w:tr>
        <w:trPr>
          <w:cantSplit w:val="true"/>
        </w:trPr>
        <w:tc>
          <w:tcPr>
            <w:tcW w:type="dxa" w:w="1928"/>
          </w:tcPr>
          <w:p>
            <w:pPr>
              <w:spacing w:before="40" w:after="40"/>
            </w:pPr>
            <w:r>
              <w:rPr>
                <w:b/>
                <w:sz w:val="17"/>
              </w:rPr>
              <w:t>Orquestador del DAG</w:t>
            </w:r>
          </w:p>
        </w:tc>
        <w:tc>
          <w:tcPr>
            <w:tcW w:type="dxa" w:w="4139"/>
          </w:tcPr>
          <w:p>
            <w:pPr>
              <w:spacing w:before="40" w:after="40"/>
            </w:pPr>
            <w:r>
              <w:rPr>
                <w:sz w:val="17"/>
              </w:rPr>
              <w:t>Ejecuta las 32 etapas en orden, decide SKIP o regeneración y propaga cambios solo aguas abajo.</w:t>
            </w:r>
          </w:p>
        </w:tc>
        <w:tc>
          <w:tcPr>
            <w:tcW w:type="dxa" w:w="2608"/>
          </w:tcPr>
          <w:p>
            <w:pPr>
              <w:spacing w:before="40" w:after="40"/>
            </w:pPr>
            <w:r>
              <w:rPr>
                <w:rFonts w:ascii="Consolas" w:hAnsi="Consolas"/>
                <w:sz w:val="17"/>
              </w:rPr>
              <w:t>scripts/run_pipeline.py</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Ingesta y procedencia</w:t>
            </w:r>
          </w:p>
        </w:tc>
        <w:tc>
          <w:tcPr>
            <w:tcW w:type="dxa" w:w="4139"/>
            <w:shd w:val="clear" w:color="auto" w:fill="EEF3F6"/>
          </w:tcPr>
          <w:p>
            <w:pPr>
              <w:spacing w:before="40" w:after="40"/>
            </w:pPr>
            <w:r>
              <w:rPr>
                <w:sz w:val="17"/>
              </w:rPr>
              <w:t>Descarga a una ubicación temporal, valida, registra URL, fecha y SHA256, y recién entonces publica el RAW.</w:t>
            </w:r>
          </w:p>
        </w:tc>
        <w:tc>
          <w:tcPr>
            <w:tcW w:type="dxa" w:w="2608"/>
            <w:shd w:val="clear" w:color="auto" w:fill="EEF3F6"/>
          </w:tcPr>
          <w:p>
            <w:pPr>
              <w:spacing w:before="40" w:after="40"/>
            </w:pPr>
            <w:r>
              <w:rPr>
                <w:rFonts w:ascii="Consolas" w:hAnsi="Consolas"/>
                <w:sz w:val="17"/>
              </w:rPr>
              <w:t>src/data/download_*</w:t>
            </w:r>
            <w:r>
              <w:rPr>
                <w:sz w:val="17"/>
              </w:rPr>
              <w:t xml:space="preserve">, </w:t>
            </w:r>
            <w:r>
              <w:rPr>
                <w:rFonts w:ascii="Consolas" w:hAnsi="Consolas"/>
                <w:sz w:val="17"/>
              </w:rPr>
              <w:t>raw_provenance.py</w:t>
            </w:r>
          </w:p>
        </w:tc>
        <w:tc>
          <w:tcPr>
            <w:tcW w:type="dxa" w:w="1361"/>
            <w:shd w:val="clear" w:color="auto" w:fill="EEF3F6"/>
          </w:tcPr>
          <w:p>
            <w:pPr>
              <w:spacing w:before="40" w:after="40"/>
            </w:pPr>
            <w:r>
              <w:rPr>
                <w:sz w:val="17"/>
              </w:rPr>
              <w:t>Implementado</w:t>
            </w:r>
          </w:p>
        </w:tc>
      </w:tr>
      <w:tr>
        <w:trPr>
          <w:cantSplit w:val="true"/>
        </w:trPr>
        <w:tc>
          <w:tcPr>
            <w:tcW w:type="dxa" w:w="1928"/>
          </w:tcPr>
          <w:p>
            <w:pPr>
              <w:spacing w:before="40" w:after="40"/>
            </w:pPr>
            <w:r>
              <w:rPr>
                <w:b/>
                <w:sz w:val="17"/>
              </w:rPr>
              <w:t>Limpieza y normalización</w:t>
            </w:r>
          </w:p>
        </w:tc>
        <w:tc>
          <w:tcPr>
            <w:tcW w:type="dxa" w:w="4139"/>
          </w:tcPr>
          <w:p>
            <w:pPr>
              <w:spacing w:before="40" w:after="40"/>
            </w:pPr>
            <w:r>
              <w:rPr>
                <w:sz w:val="17"/>
              </w:rPr>
              <w:t>Tipado, codificación, filtro territorial y unión con el maestro de establecimientos.</w:t>
            </w:r>
          </w:p>
        </w:tc>
        <w:tc>
          <w:tcPr>
            <w:tcW w:type="dxa" w:w="2608"/>
          </w:tcPr>
          <w:p>
            <w:pPr>
              <w:spacing w:before="40" w:after="40"/>
            </w:pPr>
            <w:r>
              <w:rPr>
                <w:rFonts w:ascii="Consolas" w:hAnsi="Consolas"/>
                <w:sz w:val="17"/>
              </w:rPr>
              <w:t>src/data/clean_*</w:t>
            </w:r>
            <w:r>
              <w:rPr>
                <w:sz w:val="17"/>
              </w:rPr>
              <w:t xml:space="preserve">, </w:t>
            </w:r>
            <w:r>
              <w:rPr>
                <w:rFonts w:ascii="Consolas" w:hAnsi="Consolas"/>
                <w:sz w:val="17"/>
              </w:rPr>
              <w:t>normalize_*</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Dimensiones y catálogos</w:t>
            </w:r>
          </w:p>
        </w:tc>
        <w:tc>
          <w:tcPr>
            <w:tcW w:type="dxa" w:w="4139"/>
            <w:shd w:val="clear" w:color="auto" w:fill="EEF3F6"/>
          </w:tcPr>
          <w:p>
            <w:pPr>
              <w:spacing w:before="40" w:after="40"/>
            </w:pPr>
            <w:r>
              <w:rPr>
                <w:sz w:val="17"/>
              </w:rPr>
              <w:t>Población comunal anual, vulnerabilidad, oferta de urgencia y catálogo F00–F99.</w:t>
            </w:r>
          </w:p>
        </w:tc>
        <w:tc>
          <w:tcPr>
            <w:tcW w:type="dxa" w:w="2608"/>
            <w:shd w:val="clear" w:color="auto" w:fill="EEF3F6"/>
          </w:tcPr>
          <w:p>
            <w:pPr>
              <w:spacing w:before="40" w:after="40"/>
            </w:pPr>
            <w:r>
              <w:rPr>
                <w:rFonts w:ascii="Consolas" w:hAnsi="Consolas"/>
                <w:sz w:val="17"/>
              </w:rPr>
              <w:t>src/data/build_dim_*</w:t>
            </w:r>
            <w:r>
              <w:rPr>
                <w:sz w:val="17"/>
              </w:rPr>
              <w:t xml:space="preserve">, </w:t>
            </w:r>
            <w:r>
              <w:rPr>
                <w:rFonts w:ascii="Consolas" w:hAnsi="Consolas"/>
                <w:sz w:val="17"/>
              </w:rPr>
              <w:t>build_catalogs</w:t>
            </w:r>
          </w:p>
        </w:tc>
        <w:tc>
          <w:tcPr>
            <w:tcW w:type="dxa" w:w="1361"/>
            <w:shd w:val="clear" w:color="auto" w:fill="EEF3F6"/>
          </w:tcPr>
          <w:p>
            <w:pPr>
              <w:spacing w:before="40" w:after="40"/>
            </w:pPr>
            <w:r>
              <w:rPr>
                <w:sz w:val="17"/>
              </w:rPr>
              <w:t>Implementado</w:t>
            </w:r>
          </w:p>
        </w:tc>
      </w:tr>
      <w:tr>
        <w:trPr>
          <w:cantSplit w:val="true"/>
        </w:trPr>
        <w:tc>
          <w:tcPr>
            <w:tcW w:type="dxa" w:w="1928"/>
          </w:tcPr>
          <w:p>
            <w:pPr>
              <w:spacing w:before="40" w:after="40"/>
            </w:pPr>
            <w:r>
              <w:rPr>
                <w:b/>
                <w:sz w:val="17"/>
              </w:rPr>
              <w:t>Marts analíticos</w:t>
            </w:r>
          </w:p>
        </w:tc>
        <w:tc>
          <w:tcPr>
            <w:tcW w:type="dxa" w:w="4139"/>
          </w:tcPr>
          <w:p>
            <w:pPr>
              <w:spacing w:before="40" w:after="40"/>
            </w:pPr>
            <w:r>
              <w:rPr>
                <w:sz w:val="17"/>
              </w:rPr>
              <w:t>Urgencias por comuna (semanal y mensual), por establecimiento y por grupo etario; mart territorial del MVP.</w:t>
            </w:r>
          </w:p>
        </w:tc>
        <w:tc>
          <w:tcPr>
            <w:tcW w:type="dxa" w:w="2608"/>
          </w:tcPr>
          <w:p>
            <w:pPr>
              <w:spacing w:before="40" w:after="40"/>
            </w:pPr>
            <w:r>
              <w:rPr>
                <w:rFonts w:ascii="Consolas" w:hAnsi="Consolas"/>
                <w:sz w:val="17"/>
              </w:rPr>
              <w:t>src/data/build_*_mart*</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Contratos de output</w:t>
            </w:r>
          </w:p>
        </w:tc>
        <w:tc>
          <w:tcPr>
            <w:tcW w:type="dxa" w:w="4139"/>
            <w:shd w:val="clear" w:color="auto" w:fill="EEF3F6"/>
          </w:tcPr>
          <w:p>
            <w:pPr>
              <w:spacing w:before="40" w:after="40"/>
            </w:pPr>
            <w:r>
              <w:rPr>
                <w:sz w:val="17"/>
              </w:rPr>
              <w:t>Comprueba esquema, tipos y vigencia de cada output conocido antes de aceptarlo como válido.</w:t>
            </w:r>
          </w:p>
        </w:tc>
        <w:tc>
          <w:tcPr>
            <w:tcW w:type="dxa" w:w="2608"/>
            <w:shd w:val="clear" w:color="auto" w:fill="EEF3F6"/>
          </w:tcPr>
          <w:p>
            <w:pPr>
              <w:spacing w:before="40" w:after="40"/>
            </w:pPr>
            <w:r>
              <w:rPr>
                <w:rFonts w:ascii="Consolas" w:hAnsi="Consolas"/>
                <w:sz w:val="17"/>
              </w:rPr>
              <w:t>src/data/output_contracts.py</w:t>
            </w:r>
          </w:p>
        </w:tc>
        <w:tc>
          <w:tcPr>
            <w:tcW w:type="dxa" w:w="1361"/>
            <w:shd w:val="clear" w:color="auto" w:fill="EEF3F6"/>
          </w:tcPr>
          <w:p>
            <w:pPr>
              <w:spacing w:before="40" w:after="40"/>
            </w:pPr>
            <w:r>
              <w:rPr>
                <w:sz w:val="17"/>
              </w:rPr>
              <w:t>Implementado</w:t>
            </w:r>
          </w:p>
        </w:tc>
      </w:tr>
    </w:tbl>
    <w:p>
      <w:pPr>
        <w:spacing w:after="80"/>
      </w:pPr>
    </w:p>
    <w:p>
      <w:pPr>
        <w:pStyle w:val="Heading2"/>
      </w:pPr>
      <w:r>
        <w:t>4.2 Capa analítica</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1928"/>
            <w:shd w:val="clear" w:color="auto" w:fill="0B4660"/>
          </w:tcPr>
          <w:p>
            <w:pPr>
              <w:keepNext/>
              <w:spacing w:before="40" w:after="40"/>
            </w:pPr>
            <w:r>
              <w:rPr>
                <w:b/>
                <w:color w:val="FFFFFF"/>
                <w:sz w:val="17"/>
              </w:rPr>
              <w:t>Componente</w:t>
            </w:r>
          </w:p>
        </w:tc>
        <w:tc>
          <w:tcPr>
            <w:tcW w:type="dxa" w:w="4139"/>
            <w:shd w:val="clear" w:color="auto" w:fill="0B4660"/>
          </w:tcPr>
          <w:p>
            <w:pPr>
              <w:keepNext/>
              <w:spacing w:before="40" w:after="40"/>
            </w:pPr>
            <w:r>
              <w:rPr>
                <w:b/>
                <w:color w:val="FFFFFF"/>
                <w:sz w:val="17"/>
              </w:rPr>
              <w:t>Responsabilidad</w:t>
            </w:r>
          </w:p>
        </w:tc>
        <w:tc>
          <w:tcPr>
            <w:tcW w:type="dxa" w:w="2608"/>
            <w:shd w:val="clear" w:color="auto" w:fill="0B4660"/>
          </w:tcPr>
          <w:p>
            <w:pPr>
              <w:keepNext/>
              <w:spacing w:before="40" w:after="40"/>
            </w:pPr>
            <w:r>
              <w:rPr>
                <w:b/>
                <w:color w:val="FFFFFF"/>
                <w:sz w:val="17"/>
              </w:rPr>
              <w:t>Ubicación</w:t>
            </w:r>
          </w:p>
        </w:tc>
        <w:tc>
          <w:tcPr>
            <w:tcW w:type="dxa" w:w="1361"/>
            <w:shd w:val="clear" w:color="auto" w:fill="0B4660"/>
          </w:tcPr>
          <w:p>
            <w:pPr>
              <w:keepNext/>
              <w:spacing w:before="40" w:after="40"/>
            </w:pPr>
            <w:r>
              <w:rPr>
                <w:b/>
                <w:color w:val="FFFFFF"/>
                <w:sz w:val="17"/>
              </w:rPr>
              <w:t>Estado</w:t>
            </w:r>
          </w:p>
        </w:tc>
      </w:tr>
      <w:tr>
        <w:trPr>
          <w:cantSplit w:val="true"/>
        </w:trPr>
        <w:tc>
          <w:tcPr>
            <w:tcW w:type="dxa" w:w="1928"/>
          </w:tcPr>
          <w:p>
            <w:pPr>
              <w:spacing w:before="40" w:after="40"/>
            </w:pPr>
            <w:r>
              <w:rPr>
                <w:b/>
                <w:sz w:val="17"/>
              </w:rPr>
              <w:t>EDA y perfilado</w:t>
            </w:r>
          </w:p>
        </w:tc>
        <w:tc>
          <w:tcPr>
            <w:tcW w:type="dxa" w:w="4139"/>
          </w:tcPr>
          <w:p>
            <w:pPr>
              <w:spacing w:before="40" w:after="40"/>
            </w:pPr>
            <w:r>
              <w:rPr>
                <w:sz w:val="17"/>
              </w:rPr>
              <w:t>Informes reproducibles de cada fuente y de cada mart, con sus tablas de apoyo.</w:t>
            </w:r>
          </w:p>
        </w:tc>
        <w:tc>
          <w:tcPr>
            <w:tcW w:type="dxa" w:w="2608"/>
          </w:tcPr>
          <w:p>
            <w:pPr>
              <w:spacing w:before="40" w:after="40"/>
            </w:pPr>
            <w:r>
              <w:rPr>
                <w:rFonts w:ascii="Consolas" w:hAnsi="Consolas"/>
                <w:sz w:val="17"/>
              </w:rPr>
              <w:t>scripts/eda_*</w:t>
            </w:r>
            <w:r>
              <w:rPr>
                <w:sz w:val="17"/>
              </w:rPr>
              <w:t xml:space="preserve">, </w:t>
            </w:r>
            <w:r>
              <w:rPr>
                <w:rFonts w:ascii="Consolas" w:hAnsi="Consolas"/>
                <w:sz w:val="17"/>
              </w:rPr>
              <w:t>reports/eda/</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Modelos de demanda</w:t>
            </w:r>
          </w:p>
        </w:tc>
        <w:tc>
          <w:tcPr>
            <w:tcW w:type="dxa" w:w="4139"/>
            <w:shd w:val="clear" w:color="auto" w:fill="EEF3F6"/>
          </w:tcPr>
          <w:p>
            <w:pPr>
              <w:spacing w:before="40" w:after="40"/>
            </w:pPr>
            <w:r>
              <w:rPr>
                <w:sz w:val="17"/>
              </w:rPr>
              <w:t>Panel jerárquico región–comunas, variables sin fuga temporal, baseline estacional, GLM de Poisson, LightGBM global, híbrido por nivel, reconciliación e intervalos conformes.</w:t>
            </w:r>
          </w:p>
        </w:tc>
        <w:tc>
          <w:tcPr>
            <w:tcW w:type="dxa" w:w="2608"/>
            <w:shd w:val="clear" w:color="auto" w:fill="EEF3F6"/>
          </w:tcPr>
          <w:p>
            <w:pPr>
              <w:spacing w:before="40" w:after="40"/>
            </w:pPr>
            <w:r>
              <w:rPr>
                <w:rFonts w:ascii="Consolas" w:hAnsi="Consolas"/>
                <w:sz w:val="17"/>
              </w:rPr>
              <w:t>src/models/</w:t>
            </w:r>
          </w:p>
        </w:tc>
        <w:tc>
          <w:tcPr>
            <w:tcW w:type="dxa" w:w="1361"/>
            <w:shd w:val="clear" w:color="auto" w:fill="EEF3F6"/>
          </w:tcPr>
          <w:p>
            <w:pPr>
              <w:spacing w:before="40" w:after="40"/>
            </w:pPr>
            <w:r>
              <w:rPr>
                <w:sz w:val="17"/>
              </w:rPr>
              <w:t>Implementado</w:t>
            </w:r>
          </w:p>
        </w:tc>
      </w:tr>
      <w:tr>
        <w:trPr>
          <w:cantSplit w:val="true"/>
        </w:trPr>
        <w:tc>
          <w:tcPr>
            <w:tcW w:type="dxa" w:w="1928"/>
          </w:tcPr>
          <w:p>
            <w:pPr>
              <w:spacing w:before="40" w:after="40"/>
            </w:pPr>
            <w:r>
              <w:rPr>
                <w:b/>
                <w:sz w:val="17"/>
              </w:rPr>
              <w:t>Benchmark y holdout</w:t>
            </w:r>
          </w:p>
        </w:tc>
        <w:tc>
          <w:tcPr>
            <w:tcW w:type="dxa" w:w="4139"/>
          </w:tcPr>
          <w:p>
            <w:pPr>
              <w:spacing w:before="40" w:after="40"/>
            </w:pPr>
            <w:r>
              <w:rPr>
                <w:sz w:val="17"/>
              </w:rPr>
              <w:t>Backtesting con origen deslizante, comparación pareada, selección congelada del modelo y evaluación sobre el año en curso.</w:t>
            </w:r>
          </w:p>
        </w:tc>
        <w:tc>
          <w:tcPr>
            <w:tcW w:type="dxa" w:w="2608"/>
          </w:tcPr>
          <w:p>
            <w:pPr>
              <w:spacing w:before="40" w:after="40"/>
            </w:pPr>
            <w:r>
              <w:rPr>
                <w:rFonts w:ascii="Consolas" w:hAnsi="Consolas"/>
                <w:sz w:val="17"/>
              </w:rPr>
              <w:t>scripts/run_demand_benchmark.py</w:t>
            </w:r>
            <w:r>
              <w:rPr>
                <w:sz w:val="17"/>
              </w:rPr>
              <w:t xml:space="preserve">, </w:t>
            </w:r>
            <w:r>
              <w:rPr>
                <w:rFonts w:ascii="Consolas" w:hAnsi="Consolas"/>
                <w:sz w:val="17"/>
              </w:rPr>
              <w:t>evaluate_holdout_demanda_sm.py</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Persistencia del pronóstico</w:t>
            </w:r>
          </w:p>
        </w:tc>
        <w:tc>
          <w:tcPr>
            <w:tcW w:type="dxa" w:w="4139"/>
            <w:shd w:val="clear" w:color="auto" w:fill="EEF3F6"/>
          </w:tcPr>
          <w:p>
            <w:pPr>
              <w:spacing w:before="40" w:after="40"/>
            </w:pPr>
            <w:r>
              <w:rPr>
                <w:sz w:val="17"/>
              </w:rPr>
              <w:t>Guarda el pronóstico vigente con un manifiesto de modelo, configuración y huella de sus entradas.</w:t>
            </w:r>
          </w:p>
        </w:tc>
        <w:tc>
          <w:tcPr>
            <w:tcW w:type="dxa" w:w="2608"/>
            <w:shd w:val="clear" w:color="auto" w:fill="EEF3F6"/>
          </w:tcPr>
          <w:p>
            <w:pPr>
              <w:spacing w:before="40" w:after="40"/>
            </w:pPr>
            <w:r>
              <w:rPr>
                <w:rFonts w:ascii="Consolas" w:hAnsi="Consolas"/>
                <w:sz w:val="17"/>
              </w:rPr>
              <w:t>src/models/persistence.py</w:t>
            </w:r>
          </w:p>
        </w:tc>
        <w:tc>
          <w:tcPr>
            <w:tcW w:type="dxa" w:w="1361"/>
            <w:shd w:val="clear" w:color="auto" w:fill="EEF3F6"/>
          </w:tcPr>
          <w:p>
            <w:pPr>
              <w:spacing w:before="40" w:after="40"/>
            </w:pPr>
            <w:r>
              <w:rPr>
                <w:sz w:val="17"/>
              </w:rPr>
              <w:t>Implementado</w:t>
            </w:r>
          </w:p>
        </w:tc>
      </w:tr>
      <w:tr>
        <w:trPr>
          <w:cantSplit w:val="true"/>
        </w:trPr>
        <w:tc>
          <w:tcPr>
            <w:tcW w:type="dxa" w:w="1928"/>
          </w:tcPr>
          <w:p>
            <w:pPr>
              <w:spacing w:before="40" w:after="40"/>
            </w:pPr>
            <w:r>
              <w:rPr>
                <w:b/>
                <w:sz w:val="17"/>
              </w:rPr>
              <w:t>Accesibilidad territorial</w:t>
            </w:r>
          </w:p>
        </w:tc>
        <w:tc>
          <w:tcPr>
            <w:tcW w:type="dxa" w:w="4139"/>
          </w:tcPr>
          <w:p>
            <w:pPr>
              <w:spacing w:before="40" w:after="40"/>
            </w:pPr>
            <w:r>
              <w:rPr>
                <w:sz w:val="17"/>
              </w:rPr>
              <w:t>Tiempos de viaje e isócronas sobre red vial y transporte público; cobertura poblacional.</w:t>
            </w:r>
          </w:p>
        </w:tc>
        <w:tc>
          <w:tcPr>
            <w:tcW w:type="dxa" w:w="2608"/>
          </w:tcPr>
          <w:p>
            <w:pPr>
              <w:spacing w:before="40" w:after="40"/>
            </w:pPr>
            <w:r>
              <w:rPr>
                <w:rFonts w:ascii="Consolas" w:hAnsi="Consolas"/>
                <w:sz w:val="17"/>
              </w:rPr>
              <w:t>src/geo/</w:t>
            </w:r>
            <w:r>
              <w:rPr>
                <w:sz w:val="17"/>
              </w:rPr>
              <w:t xml:space="preserve"> (no existe aún)</w:t>
            </w:r>
          </w:p>
        </w:tc>
        <w:tc>
          <w:tcPr>
            <w:tcW w:type="dxa" w:w="1361"/>
          </w:tcPr>
          <w:p>
            <w:pPr>
              <w:spacing w:before="40" w:after="40"/>
            </w:pPr>
            <w:r>
              <w:rPr>
                <w:sz w:val="17"/>
              </w:rPr>
              <w:t>Planificado</w:t>
            </w:r>
          </w:p>
        </w:tc>
      </w:tr>
      <w:tr>
        <w:trPr>
          <w:cantSplit w:val="true"/>
        </w:trPr>
        <w:tc>
          <w:tcPr>
            <w:tcW w:type="dxa" w:w="1928"/>
            <w:shd w:val="clear" w:color="auto" w:fill="EEF3F6"/>
          </w:tcPr>
          <w:p>
            <w:pPr>
              <w:spacing w:before="40" w:after="40"/>
            </w:pPr>
            <w:r>
              <w:rPr>
                <w:b/>
                <w:sz w:val="17"/>
              </w:rPr>
              <w:t>Análisis de hospitalización</w:t>
            </w:r>
          </w:p>
        </w:tc>
        <w:tc>
          <w:tcPr>
            <w:tcW w:type="dxa" w:w="4139"/>
            <w:shd w:val="clear" w:color="auto" w:fill="EEF3F6"/>
          </w:tcPr>
          <w:p>
            <w:pPr>
              <w:spacing w:before="40" w:after="40"/>
            </w:pPr>
            <w:r>
              <w:rPr>
                <w:sz w:val="17"/>
              </w:rPr>
              <w:t>Duración de estadía F00–F99 según sexo, previsión y pertenencia al SNSS. El dataset canónico y su perfilado ya existen; falta el análisis.</w:t>
            </w:r>
          </w:p>
        </w:tc>
        <w:tc>
          <w:tcPr>
            <w:tcW w:type="dxa" w:w="2608"/>
            <w:shd w:val="clear" w:color="auto" w:fill="EEF3F6"/>
          </w:tcPr>
          <w:p>
            <w:pPr>
              <w:spacing w:before="40" w:after="40"/>
            </w:pPr>
            <w:r>
              <w:rPr>
                <w:rFonts w:ascii="Consolas" w:hAnsi="Consolas"/>
                <w:sz w:val="17"/>
              </w:rPr>
              <w:t>reports/hospitalization/</w:t>
            </w:r>
          </w:p>
        </w:tc>
        <w:tc>
          <w:tcPr>
            <w:tcW w:type="dxa" w:w="1361"/>
            <w:shd w:val="clear" w:color="auto" w:fill="EEF3F6"/>
          </w:tcPr>
          <w:p>
            <w:pPr>
              <w:spacing w:before="40" w:after="40"/>
            </w:pPr>
            <w:r>
              <w:rPr>
                <w:sz w:val="17"/>
              </w:rPr>
              <w:t>Planificado</w:t>
            </w:r>
          </w:p>
        </w:tc>
      </w:tr>
    </w:tbl>
    <w:p>
      <w:pPr>
        <w:spacing w:after="80"/>
      </w:pPr>
    </w:p>
    <w:p>
      <w:pPr>
        <w:pStyle w:val="Heading2"/>
      </w:pPr>
      <w:r>
        <w:t>4.3 Capas de servicios y de presentación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1928"/>
            <w:shd w:val="clear" w:color="auto" w:fill="0B4660"/>
          </w:tcPr>
          <w:p>
            <w:pPr>
              <w:keepNext/>
              <w:spacing w:before="40" w:after="40"/>
            </w:pPr>
            <w:r>
              <w:rPr>
                <w:b/>
                <w:color w:val="FFFFFF"/>
                <w:sz w:val="17"/>
              </w:rPr>
              <w:t>Componente</w:t>
            </w:r>
          </w:p>
        </w:tc>
        <w:tc>
          <w:tcPr>
            <w:tcW w:type="dxa" w:w="4139"/>
            <w:shd w:val="clear" w:color="auto" w:fill="0B4660"/>
          </w:tcPr>
          <w:p>
            <w:pPr>
              <w:keepNext/>
              <w:spacing w:before="40" w:after="40"/>
            </w:pPr>
            <w:r>
              <w:rPr>
                <w:b/>
                <w:color w:val="FFFFFF"/>
                <w:sz w:val="17"/>
              </w:rPr>
              <w:t>Responsabilidad</w:t>
            </w:r>
          </w:p>
        </w:tc>
        <w:tc>
          <w:tcPr>
            <w:tcW w:type="dxa" w:w="2608"/>
            <w:shd w:val="clear" w:color="auto" w:fill="0B4660"/>
          </w:tcPr>
          <w:p>
            <w:pPr>
              <w:keepNext/>
              <w:spacing w:before="40" w:after="40"/>
            </w:pPr>
            <w:r>
              <w:rPr>
                <w:b/>
                <w:color w:val="FFFFFF"/>
                <w:sz w:val="17"/>
              </w:rPr>
              <w:t>Ubicación</w:t>
            </w:r>
          </w:p>
        </w:tc>
        <w:tc>
          <w:tcPr>
            <w:tcW w:type="dxa" w:w="1361"/>
            <w:shd w:val="clear" w:color="auto" w:fill="0B4660"/>
          </w:tcPr>
          <w:p>
            <w:pPr>
              <w:keepNext/>
              <w:spacing w:before="40" w:after="40"/>
            </w:pPr>
            <w:r>
              <w:rPr>
                <w:b/>
                <w:color w:val="FFFFFF"/>
                <w:sz w:val="17"/>
              </w:rPr>
              <w:t>Estado</w:t>
            </w:r>
          </w:p>
        </w:tc>
      </w:tr>
      <w:tr>
        <w:trPr>
          <w:cantSplit w:val="true"/>
        </w:trPr>
        <w:tc>
          <w:tcPr>
            <w:tcW w:type="dxa" w:w="1928"/>
          </w:tcPr>
          <w:p>
            <w:pPr>
              <w:spacing w:before="40" w:after="40"/>
            </w:pPr>
            <w:r>
              <w:rPr>
                <w:b/>
                <w:sz w:val="17"/>
              </w:rPr>
              <w:t>Aplicación y ciclo de vida</w:t>
            </w:r>
          </w:p>
        </w:tc>
        <w:tc>
          <w:tcPr>
            <w:tcW w:type="dxa" w:w="4139"/>
          </w:tcPr>
          <w:p>
            <w:pPr>
              <w:spacing w:before="40" w:after="40"/>
            </w:pPr>
            <w:r>
              <w:rPr>
                <w:sz w:val="17"/>
              </w:rPr>
              <w:t>Arranque, carga en segundo plano, compresión y política de orígenes permitidos.</w:t>
            </w:r>
          </w:p>
        </w:tc>
        <w:tc>
          <w:tcPr>
            <w:tcW w:type="dxa" w:w="2608"/>
          </w:tcPr>
          <w:p>
            <w:pPr>
              <w:spacing w:before="40" w:after="40"/>
            </w:pPr>
            <w:r>
              <w:rPr>
                <w:rFonts w:ascii="Consolas" w:hAnsi="Consolas"/>
                <w:sz w:val="17"/>
              </w:rPr>
              <w:t>src/api/main.py</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Rutas</w:t>
            </w:r>
          </w:p>
        </w:tc>
        <w:tc>
          <w:tcPr>
            <w:tcW w:type="dxa" w:w="4139"/>
            <w:shd w:val="clear" w:color="auto" w:fill="EEF3F6"/>
          </w:tcPr>
          <w:p>
            <w:pPr>
              <w:spacing w:before="40" w:after="40"/>
            </w:pPr>
            <w:r>
              <w:rPr>
                <w:sz w:val="17"/>
              </w:rPr>
              <w:t>Endpoints de la versión 1, validación de parámetros y errores HTTP explícitos.</w:t>
            </w:r>
          </w:p>
        </w:tc>
        <w:tc>
          <w:tcPr>
            <w:tcW w:type="dxa" w:w="2608"/>
            <w:shd w:val="clear" w:color="auto" w:fill="EEF3F6"/>
          </w:tcPr>
          <w:p>
            <w:pPr>
              <w:spacing w:before="40" w:after="40"/>
            </w:pPr>
            <w:r>
              <w:rPr>
                <w:rFonts w:ascii="Consolas" w:hAnsi="Consolas"/>
                <w:sz w:val="17"/>
              </w:rPr>
              <w:t>src/api/routes.py</w:t>
            </w:r>
          </w:p>
        </w:tc>
        <w:tc>
          <w:tcPr>
            <w:tcW w:type="dxa" w:w="1361"/>
            <w:shd w:val="clear" w:color="auto" w:fill="EEF3F6"/>
          </w:tcPr>
          <w:p>
            <w:pPr>
              <w:spacing w:before="40" w:after="40"/>
            </w:pPr>
            <w:r>
              <w:rPr>
                <w:sz w:val="17"/>
              </w:rPr>
              <w:t>Implementado</w:t>
            </w:r>
          </w:p>
        </w:tc>
      </w:tr>
      <w:tr>
        <w:trPr>
          <w:cantSplit w:val="true"/>
        </w:trPr>
        <w:tc>
          <w:tcPr>
            <w:tcW w:type="dxa" w:w="1928"/>
          </w:tcPr>
          <w:p>
            <w:pPr>
              <w:spacing w:before="40" w:after="40"/>
            </w:pPr>
            <w:r>
              <w:rPr>
                <w:b/>
                <w:sz w:val="17"/>
              </w:rPr>
              <w:t>Contratos de respuesta</w:t>
            </w:r>
          </w:p>
        </w:tc>
        <w:tc>
          <w:tcPr>
            <w:tcW w:type="dxa" w:w="4139"/>
          </w:tcPr>
          <w:p>
            <w:pPr>
              <w:spacing w:before="40" w:after="40"/>
            </w:pPr>
            <w:r>
              <w:rPr>
                <w:sz w:val="17"/>
              </w:rPr>
              <w:t>Modelos tipados de cada respuesta; fuente de la documentación OpenAPI.</w:t>
            </w:r>
          </w:p>
        </w:tc>
        <w:tc>
          <w:tcPr>
            <w:tcW w:type="dxa" w:w="2608"/>
          </w:tcPr>
          <w:p>
            <w:pPr>
              <w:spacing w:before="40" w:after="40"/>
            </w:pPr>
            <w:r>
              <w:rPr>
                <w:rFonts w:ascii="Consolas" w:hAnsi="Consolas"/>
                <w:sz w:val="17"/>
              </w:rPr>
              <w:t>src/api/schemas.py</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Servicio de demanda</w:t>
            </w:r>
          </w:p>
        </w:tc>
        <w:tc>
          <w:tcPr>
            <w:tcW w:type="dxa" w:w="4139"/>
            <w:shd w:val="clear" w:color="auto" w:fill="EEF3F6"/>
          </w:tcPr>
          <w:p>
            <w:pPr>
              <w:spacing w:before="40" w:after="40"/>
            </w:pPr>
            <w:r>
              <w:rPr>
                <w:sz w:val="17"/>
              </w:rPr>
              <w:t>Estado en memoria: datos cargados, pronóstico reutilizado o recalculado, y funciones puras de resumen.</w:t>
            </w:r>
          </w:p>
        </w:tc>
        <w:tc>
          <w:tcPr>
            <w:tcW w:type="dxa" w:w="2608"/>
            <w:shd w:val="clear" w:color="auto" w:fill="EEF3F6"/>
          </w:tcPr>
          <w:p>
            <w:pPr>
              <w:spacing w:before="40" w:after="40"/>
            </w:pPr>
            <w:r>
              <w:rPr>
                <w:rFonts w:ascii="Consolas" w:hAnsi="Consolas"/>
                <w:sz w:val="17"/>
              </w:rPr>
              <w:t>src/api/service.py</w:t>
            </w:r>
          </w:p>
        </w:tc>
        <w:tc>
          <w:tcPr>
            <w:tcW w:type="dxa" w:w="1361"/>
            <w:shd w:val="clear" w:color="auto" w:fill="EEF3F6"/>
          </w:tcPr>
          <w:p>
            <w:pPr>
              <w:spacing w:before="40" w:after="40"/>
            </w:pPr>
            <w:r>
              <w:rPr>
                <w:sz w:val="17"/>
              </w:rPr>
              <w:t>Implementado</w:t>
            </w:r>
          </w:p>
        </w:tc>
      </w:tr>
      <w:tr>
        <w:trPr>
          <w:cantSplit w:val="true"/>
        </w:trPr>
        <w:tc>
          <w:tcPr>
            <w:tcW w:type="dxa" w:w="1928"/>
          </w:tcPr>
          <w:p>
            <w:pPr>
              <w:spacing w:before="40" w:after="40"/>
            </w:pPr>
            <w:r>
              <w:rPr>
                <w:b/>
                <w:sz w:val="17"/>
              </w:rPr>
              <w:t>Cliente tipado</w:t>
            </w:r>
          </w:p>
        </w:tc>
        <w:tc>
          <w:tcPr>
            <w:tcW w:type="dxa" w:w="4139"/>
          </w:tcPr>
          <w:p>
            <w:pPr>
              <w:spacing w:before="40" w:after="40"/>
            </w:pPr>
            <w:r>
              <w:rPr>
                <w:sz w:val="17"/>
              </w:rPr>
              <w:t>Único punto de acceso a la API desde la interfaz; reintenta cuando el servidor informa que aún calcula.</w:t>
            </w:r>
          </w:p>
        </w:tc>
        <w:tc>
          <w:tcPr>
            <w:tcW w:type="dxa" w:w="2608"/>
          </w:tcPr>
          <w:p>
            <w:pPr>
              <w:spacing w:before="40" w:after="40"/>
            </w:pPr>
            <w:r>
              <w:rPr>
                <w:rFonts w:ascii="Consolas" w:hAnsi="Consolas"/>
                <w:sz w:val="17"/>
              </w:rPr>
              <w:t>frontend/src/api.ts</w:t>
            </w:r>
          </w:p>
        </w:tc>
        <w:tc>
          <w:tcPr>
            <w:tcW w:type="dxa" w:w="1361"/>
          </w:tcPr>
          <w:p>
            <w:pPr>
              <w:spacing w:before="40" w:after="40"/>
            </w:pPr>
            <w:r>
              <w:rPr>
                <w:sz w:val="17"/>
              </w:rPr>
              <w:t>Implementado</w:t>
            </w:r>
          </w:p>
        </w:tc>
      </w:tr>
      <w:tr>
        <w:trPr>
          <w:cantSplit w:val="true"/>
        </w:trPr>
        <w:tc>
          <w:tcPr>
            <w:tcW w:type="dxa" w:w="1928"/>
            <w:shd w:val="clear" w:color="auto" w:fill="EEF3F6"/>
          </w:tcPr>
          <w:p>
            <w:pPr>
              <w:spacing w:before="40" w:after="40"/>
            </w:pPr>
            <w:r>
              <w:rPr>
                <w:b/>
                <w:sz w:val="17"/>
              </w:rPr>
              <w:t>Portada y tablero</w:t>
            </w:r>
          </w:p>
        </w:tc>
        <w:tc>
          <w:tcPr>
            <w:tcW w:type="dxa" w:w="4139"/>
            <w:shd w:val="clear" w:color="auto" w:fill="EEF3F6"/>
          </w:tcPr>
          <w:p>
            <w:pPr>
              <w:spacing w:before="40" w:after="40"/>
            </w:pPr>
            <w:r>
              <w:rPr>
                <w:sz w:val="17"/>
              </w:rPr>
              <w:t>Presentación del producto y vista de trabajo: serie con pronóstico, mapa comunal, tabla y alcance.</w:t>
            </w:r>
          </w:p>
        </w:tc>
        <w:tc>
          <w:tcPr>
            <w:tcW w:type="dxa" w:w="2608"/>
            <w:shd w:val="clear" w:color="auto" w:fill="EEF3F6"/>
          </w:tcPr>
          <w:p>
            <w:pPr>
              <w:spacing w:before="40" w:after="40"/>
            </w:pPr>
            <w:r>
              <w:rPr>
                <w:rFonts w:ascii="Consolas" w:hAnsi="Consolas"/>
                <w:sz w:val="17"/>
              </w:rPr>
              <w:t>frontend/src/components/</w:t>
            </w:r>
          </w:p>
        </w:tc>
        <w:tc>
          <w:tcPr>
            <w:tcW w:type="dxa" w:w="1361"/>
            <w:shd w:val="clear" w:color="auto" w:fill="EEF3F6"/>
          </w:tcPr>
          <w:p>
            <w:pPr>
              <w:spacing w:before="40" w:after="40"/>
            </w:pPr>
            <w:r>
              <w:rPr>
                <w:sz w:val="17"/>
              </w:rPr>
              <w:t>Implementado</w:t>
            </w:r>
          </w:p>
        </w:tc>
      </w:tr>
      <w:tr>
        <w:trPr>
          <w:cantSplit w:val="true"/>
        </w:trPr>
        <w:tc>
          <w:tcPr>
            <w:tcW w:type="dxa" w:w="1928"/>
          </w:tcPr>
          <w:p>
            <w:pPr>
              <w:spacing w:before="40" w:after="40"/>
            </w:pPr>
            <w:r>
              <w:rPr>
                <w:b/>
                <w:sz w:val="17"/>
              </w:rPr>
              <w:t>Identidad visual</w:t>
            </w:r>
          </w:p>
        </w:tc>
        <w:tc>
          <w:tcPr>
            <w:tcW w:type="dxa" w:w="4139"/>
          </w:tcPr>
          <w:p>
            <w:pPr>
              <w:spacing w:before="40" w:after="40"/>
            </w:pPr>
            <w:r>
              <w:rPr>
                <w:sz w:val="17"/>
              </w:rPr>
              <w:t>Tokens de color y tipografía del kit de marca, aplicados a la interfaz y a este documento.</w:t>
            </w:r>
          </w:p>
        </w:tc>
        <w:tc>
          <w:tcPr>
            <w:tcW w:type="dxa" w:w="2608"/>
          </w:tcPr>
          <w:p>
            <w:pPr>
              <w:spacing w:before="40" w:after="40"/>
            </w:pPr>
            <w:r>
              <w:rPr>
                <w:rFonts w:ascii="Consolas" w:hAnsi="Consolas"/>
                <w:sz w:val="17"/>
              </w:rPr>
              <w:t>frontend/src/index.css</w:t>
            </w:r>
            <w:r>
              <w:rPr>
                <w:sz w:val="17"/>
              </w:rPr>
              <w:t xml:space="preserve">, </w:t>
            </w:r>
            <w:r>
              <w:rPr>
                <w:rFonts w:ascii="Consolas" w:hAnsi="Consolas"/>
                <w:sz w:val="17"/>
              </w:rPr>
              <w:t>frontend/public/marca/</w:t>
            </w:r>
          </w:p>
        </w:tc>
        <w:tc>
          <w:tcPr>
            <w:tcW w:type="dxa" w:w="1361"/>
          </w:tcPr>
          <w:p>
            <w:pPr>
              <w:spacing w:before="40" w:after="40"/>
            </w:pPr>
            <w:r>
              <w:rPr>
                <w:sz w:val="17"/>
              </w:rPr>
              <w:t>Implementado</w:t>
            </w:r>
          </w:p>
        </w:tc>
      </w:tr>
    </w:tbl>
    <w:p>
      <w:pPr>
        <w:spacing w:after="80"/>
      </w:pPr>
    </w:p>
    <w:p>
      <w:pPr>
        <w:pStyle w:val="Heading2"/>
      </w:pPr>
      <w:r>
        <w:t>4.4 Clases conceptuales</w:t>
      </w:r>
    </w:p>
    <w:p>
      <w:pPr>
        <w:jc w:val="both"/>
      </w:pPr>
      <w:r>
        <w:rPr>
          <w:sz w:val="21"/>
        </w:rPr>
        <w:t>El diagrama de clases resume las entidades conceptuales del dominio y sus asociaciones. Se mantiene sincronizado con el modelo de datos por una regla del repositorio: cada cambio material del modelo canónico obliga a regenerarlo desde su fuente.</w:t>
      </w:r>
    </w:p>
    <w:p>
      <w:pPr>
        <w:keepNext/>
        <w:spacing w:before="120" w:after="80"/>
        <w:jc w:val="center"/>
      </w:pPr>
      <w:r>
        <w:drawing>
          <wp:inline xmlns:a="http://schemas.openxmlformats.org/drawingml/2006/main" xmlns:pic="http://schemas.openxmlformats.org/drawingml/2006/picture">
            <wp:extent cx="3384000" cy="6705935"/>
            <wp:docPr id="3" name="Picture 3"/>
            <wp:cNvGraphicFramePr>
              <a:graphicFrameLocks noChangeAspect="1"/>
            </wp:cNvGraphicFramePr>
            <a:graphic>
              <a:graphicData uri="http://schemas.openxmlformats.org/drawingml/2006/picture">
                <pic:pic>
                  <pic:nvPicPr>
                    <pic:cNvPr id="0" name="clases_saad.png"/>
                    <pic:cNvPicPr/>
                  </pic:nvPicPr>
                  <pic:blipFill>
                    <a:blip r:embed="rId12"/>
                    <a:stretch>
                      <a:fillRect/>
                    </a:stretch>
                  </pic:blipFill>
                  <pic:spPr>
                    <a:xfrm>
                      <a:off x="0" y="0"/>
                      <a:ext cx="3384000" cy="6705935"/>
                    </a:xfrm>
                    <a:prstGeom prst="rect"/>
                  </pic:spPr>
                </pic:pic>
              </a:graphicData>
            </a:graphic>
          </wp:inline>
        </w:drawing>
      </w:r>
    </w:p>
    <w:p>
      <w:pPr>
        <w:spacing w:after="200"/>
        <w:jc w:val="center"/>
      </w:pPr>
      <w:r>
        <w:rPr>
          <w:b/>
          <w:color w:val="5E7685"/>
          <w:sz w:val="18"/>
        </w:rPr>
        <w:t>Figura 2.</w:t>
      </w:r>
      <w:r>
        <w:rPr>
          <w:color w:val="5E7685"/>
          <w:sz w:val="18"/>
        </w:rPr>
        <w:t xml:space="preserve"> Diagrama de clases del SAAD. Fuente editable: </w:t>
      </w:r>
      <w:r>
        <w:rPr>
          <w:rFonts w:ascii="Consolas" w:hAnsi="Consolas"/>
          <w:color w:val="5E7685"/>
          <w:sz w:val="17"/>
        </w:rPr>
        <w:t>docs/07-diagramas/clases_saad.puml</w:t>
      </w:r>
      <w:r>
        <w:rPr>
          <w:color w:val="5E7685"/>
          <w:sz w:val="18"/>
        </w:rPr>
        <w:t>; la versión vectorial permite ampliar el detalle.</w:t>
      </w:r>
    </w:p>
    <w:p>
      <w:pPr>
        <w:pStyle w:val="Heading1"/>
      </w:pPr>
      <w:r>
        <w:t>5. Vista de datos</w:t>
      </w:r>
    </w:p>
    <w:p>
      <w:pPr>
        <w:pStyle w:val="Heading2"/>
      </w:pPr>
      <w:r>
        <w:t>5.1 Zonas de almacenamiento</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2211"/>
            <w:shd w:val="clear" w:color="auto" w:fill="0B4660"/>
          </w:tcPr>
          <w:p>
            <w:pPr>
              <w:keepNext/>
              <w:spacing w:before="40" w:after="40"/>
            </w:pPr>
            <w:r>
              <w:rPr>
                <w:b/>
                <w:color w:val="FFFFFF"/>
                <w:sz w:val="18"/>
              </w:rPr>
              <w:t>Zona</w:t>
            </w:r>
          </w:p>
        </w:tc>
        <w:tc>
          <w:tcPr>
            <w:tcW w:type="dxa" w:w="2835"/>
            <w:shd w:val="clear" w:color="auto" w:fill="0B4660"/>
          </w:tcPr>
          <w:p>
            <w:pPr>
              <w:keepNext/>
              <w:spacing w:before="40" w:after="40"/>
            </w:pPr>
            <w:r>
              <w:rPr>
                <w:b/>
                <w:color w:val="FFFFFF"/>
                <w:sz w:val="18"/>
              </w:rPr>
              <w:t>Contenido</w:t>
            </w:r>
          </w:p>
        </w:tc>
        <w:tc>
          <w:tcPr>
            <w:tcW w:type="dxa" w:w="3175"/>
            <w:shd w:val="clear" w:color="auto" w:fill="0B4660"/>
          </w:tcPr>
          <w:p>
            <w:pPr>
              <w:keepNext/>
              <w:spacing w:before="40" w:after="40"/>
            </w:pPr>
            <w:r>
              <w:rPr>
                <w:b/>
                <w:color w:val="FFFFFF"/>
                <w:sz w:val="18"/>
              </w:rPr>
              <w:t>Garantía</w:t>
            </w:r>
          </w:p>
        </w:tc>
        <w:tc>
          <w:tcPr>
            <w:tcW w:type="dxa" w:w="1814"/>
            <w:shd w:val="clear" w:color="auto" w:fill="0B4660"/>
          </w:tcPr>
          <w:p>
            <w:pPr>
              <w:keepNext/>
              <w:spacing w:before="40" w:after="40"/>
            </w:pPr>
            <w:r>
              <w:rPr>
                <w:b/>
                <w:color w:val="FFFFFF"/>
                <w:sz w:val="18"/>
              </w:rPr>
              <w:t>¿Se versiona en Git?</w:t>
            </w:r>
          </w:p>
        </w:tc>
      </w:tr>
      <w:tr>
        <w:trPr>
          <w:cantSplit w:val="true"/>
        </w:trPr>
        <w:tc>
          <w:tcPr>
            <w:tcW w:type="dxa" w:w="2211"/>
          </w:tcPr>
          <w:p>
            <w:pPr>
              <w:spacing w:before="40" w:after="40"/>
            </w:pPr>
            <w:r>
              <w:rPr>
                <w:rFonts w:ascii="Consolas" w:hAnsi="Consolas"/>
                <w:b/>
                <w:sz w:val="18"/>
              </w:rPr>
              <w:t>data/raw/</w:t>
            </w:r>
          </w:p>
        </w:tc>
        <w:tc>
          <w:tcPr>
            <w:tcW w:type="dxa" w:w="2835"/>
          </w:tcPr>
          <w:p>
            <w:pPr>
              <w:spacing w:before="40" w:after="40"/>
            </w:pPr>
            <w:r>
              <w:rPr>
                <w:sz w:val="18"/>
              </w:rPr>
              <w:t>Copia fiel de cada archivo fuente, en su formato original.</w:t>
            </w:r>
          </w:p>
        </w:tc>
        <w:tc>
          <w:tcPr>
            <w:tcW w:type="dxa" w:w="3175"/>
          </w:tcPr>
          <w:p>
            <w:pPr>
              <w:spacing w:before="40" w:after="40"/>
            </w:pPr>
            <w:r>
              <w:rPr>
                <w:sz w:val="18"/>
              </w:rPr>
              <w:t>Solo lectura para todo lo que no sea la ingesta. Los años cerrados no se sobrescriben.</w:t>
            </w:r>
          </w:p>
        </w:tc>
        <w:tc>
          <w:tcPr>
            <w:tcW w:type="dxa" w:w="1814"/>
          </w:tcPr>
          <w:p>
            <w:pPr>
              <w:spacing w:before="40" w:after="40"/>
            </w:pPr>
            <w:r>
              <w:rPr>
                <w:sz w:val="18"/>
              </w:rPr>
              <w:t>No; sí su manifiesto de procedencia.</w:t>
            </w:r>
          </w:p>
        </w:tc>
      </w:tr>
      <w:tr>
        <w:trPr>
          <w:cantSplit w:val="true"/>
        </w:trPr>
        <w:tc>
          <w:tcPr>
            <w:tcW w:type="dxa" w:w="2211"/>
            <w:shd w:val="clear" w:color="auto" w:fill="EEF3F6"/>
          </w:tcPr>
          <w:p>
            <w:pPr>
              <w:spacing w:before="40" w:after="40"/>
            </w:pPr>
            <w:r>
              <w:rPr>
                <w:rFonts w:ascii="Consolas" w:hAnsi="Consolas"/>
                <w:b/>
                <w:sz w:val="18"/>
              </w:rPr>
              <w:t>data/processed/</w:t>
            </w:r>
          </w:p>
        </w:tc>
        <w:tc>
          <w:tcPr>
            <w:tcW w:type="dxa" w:w="2835"/>
            <w:shd w:val="clear" w:color="auto" w:fill="EEF3F6"/>
          </w:tcPr>
          <w:p>
            <w:pPr>
              <w:spacing w:before="40" w:after="40"/>
            </w:pPr>
            <w:r>
              <w:rPr>
                <w:sz w:val="18"/>
              </w:rPr>
              <w:t>Datos limpios, dimensiones y marts en Parquet y GeoParquet.</w:t>
            </w:r>
          </w:p>
        </w:tc>
        <w:tc>
          <w:tcPr>
            <w:tcW w:type="dxa" w:w="3175"/>
            <w:shd w:val="clear" w:color="auto" w:fill="EEF3F6"/>
          </w:tcPr>
          <w:p>
            <w:pPr>
              <w:spacing w:before="40" w:after="40"/>
            </w:pPr>
            <w:r>
              <w:rPr>
                <w:sz w:val="18"/>
              </w:rPr>
              <w:t>Regenerable por completo desde el RAW mediante el pipeline.</w:t>
            </w:r>
          </w:p>
        </w:tc>
        <w:tc>
          <w:tcPr>
            <w:tcW w:type="dxa" w:w="1814"/>
            <w:shd w:val="clear" w:color="auto" w:fill="EEF3F6"/>
          </w:tcPr>
          <w:p>
            <w:pPr>
              <w:spacing w:before="40" w:after="40"/>
            </w:pPr>
            <w:r>
              <w:rPr>
                <w:sz w:val="18"/>
              </w:rPr>
              <w:t>No.</w:t>
            </w:r>
          </w:p>
        </w:tc>
      </w:tr>
      <w:tr>
        <w:trPr>
          <w:cantSplit w:val="true"/>
        </w:trPr>
        <w:tc>
          <w:tcPr>
            <w:tcW w:type="dxa" w:w="2211"/>
          </w:tcPr>
          <w:p>
            <w:pPr>
              <w:spacing w:before="40" w:after="40"/>
            </w:pPr>
            <w:r>
              <w:rPr>
                <w:rFonts w:ascii="Consolas" w:hAnsi="Consolas"/>
                <w:b/>
                <w:sz w:val="18"/>
              </w:rPr>
              <w:t>data/processed/modeling/</w:t>
            </w:r>
          </w:p>
        </w:tc>
        <w:tc>
          <w:tcPr>
            <w:tcW w:type="dxa" w:w="2835"/>
          </w:tcPr>
          <w:p>
            <w:pPr>
              <w:spacing w:before="40" w:after="40"/>
            </w:pPr>
            <w:r>
              <w:rPr>
                <w:sz w:val="18"/>
              </w:rPr>
              <w:t>Pronóstico vigente y su manifiesto.</w:t>
            </w:r>
          </w:p>
        </w:tc>
        <w:tc>
          <w:tcPr>
            <w:tcW w:type="dxa" w:w="3175"/>
          </w:tcPr>
          <w:p>
            <w:pPr>
              <w:spacing w:before="40" w:after="40"/>
            </w:pPr>
            <w:r>
              <w:rPr>
                <w:sz w:val="18"/>
              </w:rPr>
              <w:t>Válido solo mientras no cambien las entradas registradas en el manifiesto.</w:t>
            </w:r>
          </w:p>
        </w:tc>
        <w:tc>
          <w:tcPr>
            <w:tcW w:type="dxa" w:w="1814"/>
          </w:tcPr>
          <w:p>
            <w:pPr>
              <w:spacing w:before="40" w:after="40"/>
            </w:pPr>
            <w:r>
              <w:rPr>
                <w:sz w:val="18"/>
              </w:rPr>
              <w:t>Sí, por excepción explícita.</w:t>
            </w:r>
          </w:p>
        </w:tc>
      </w:tr>
      <w:tr>
        <w:trPr>
          <w:cantSplit w:val="true"/>
        </w:trPr>
        <w:tc>
          <w:tcPr>
            <w:tcW w:type="dxa" w:w="2211"/>
            <w:shd w:val="clear" w:color="auto" w:fill="EEF3F6"/>
          </w:tcPr>
          <w:p>
            <w:pPr>
              <w:spacing w:before="40" w:after="40"/>
            </w:pPr>
            <w:r>
              <w:rPr>
                <w:rFonts w:ascii="Consolas" w:hAnsi="Consolas"/>
                <w:b/>
                <w:sz w:val="18"/>
              </w:rPr>
              <w:t>reports/</w:t>
            </w:r>
          </w:p>
        </w:tc>
        <w:tc>
          <w:tcPr>
            <w:tcW w:type="dxa" w:w="2835"/>
            <w:shd w:val="clear" w:color="auto" w:fill="EEF3F6"/>
          </w:tcPr>
          <w:p>
            <w:pPr>
              <w:spacing w:before="40" w:after="40"/>
            </w:pPr>
            <w:r>
              <w:rPr>
                <w:sz w:val="18"/>
              </w:rPr>
              <w:t>Informes de EDA, benchmark, holdout y diccionarios de datos.</w:t>
            </w:r>
          </w:p>
        </w:tc>
        <w:tc>
          <w:tcPr>
            <w:tcW w:type="dxa" w:w="3175"/>
            <w:shd w:val="clear" w:color="auto" w:fill="EEF3F6"/>
          </w:tcPr>
          <w:p>
            <w:pPr>
              <w:spacing w:before="40" w:after="40"/>
            </w:pPr>
            <w:r>
              <w:rPr>
                <w:sz w:val="18"/>
              </w:rPr>
              <w:t>Generados por etapas del pipeline; no se editan a mano.</w:t>
            </w:r>
          </w:p>
        </w:tc>
        <w:tc>
          <w:tcPr>
            <w:tcW w:type="dxa" w:w="1814"/>
            <w:shd w:val="clear" w:color="auto" w:fill="EEF3F6"/>
          </w:tcPr>
          <w:p>
            <w:pPr>
              <w:spacing w:before="40" w:after="40"/>
            </w:pPr>
            <w:r>
              <w:rPr>
                <w:sz w:val="18"/>
              </w:rPr>
              <w:t>Sí, los de modelamiento.</w:t>
            </w:r>
          </w:p>
        </w:tc>
      </w:tr>
    </w:tbl>
    <w:p>
      <w:pPr>
        <w:spacing w:after="80"/>
      </w:pPr>
    </w:p>
    <w:p>
      <w:pPr>
        <w:pStyle w:val="Heading2"/>
      </w:pPr>
      <w:r>
        <w:t>5.2 Garantías sobre los datos</w:t>
      </w:r>
    </w:p>
    <w:p>
      <w:pPr>
        <w:pStyle w:val="ListBullet"/>
        <w:spacing w:after="60"/>
      </w:pPr>
      <w:r>
        <w:rPr>
          <w:b/>
          <w:sz w:val="21"/>
        </w:rPr>
        <w:t>Procedencia.</w:t>
      </w:r>
      <w:r>
        <w:rPr>
          <w:sz w:val="21"/>
        </w:rPr>
        <w:t xml:space="preserve"> </w:t>
      </w:r>
      <w:r>
        <w:rPr>
          <w:rFonts w:ascii="Consolas" w:hAnsi="Consolas"/>
          <w:sz w:val="20"/>
        </w:rPr>
        <w:t>data/raw/provenance_manifest.json</w:t>
      </w:r>
      <w:r>
        <w:rPr>
          <w:sz w:val="21"/>
        </w:rPr>
        <w:t xml:space="preserve"> conserva el historial de snapshots de cada fuente: URL, fecha y hora real de descarga, tamaño y SHA256.</w:t>
      </w:r>
    </w:p>
    <w:p>
      <w:pPr>
        <w:pStyle w:val="ListBullet"/>
        <w:spacing w:after="60"/>
      </w:pPr>
      <w:r>
        <w:rPr>
          <w:b/>
          <w:sz w:val="21"/>
        </w:rPr>
        <w:t>Publicación atómica.</w:t>
      </w:r>
      <w:r>
        <w:rPr>
          <w:sz w:val="21"/>
        </w:rPr>
        <w:t xml:space="preserve"> Los outputs se escriben en un archivo temporal, se validan y se reemplazan de una vez; una ejecución interrumpida no deja un archivo a medias (RNF-FIA-003).</w:t>
      </w:r>
    </w:p>
    <w:p>
      <w:pPr>
        <w:pStyle w:val="ListBullet"/>
        <w:spacing w:after="60"/>
      </w:pPr>
      <w:r>
        <w:rPr>
          <w:b/>
          <w:sz w:val="21"/>
        </w:rPr>
        <w:t>Contratos.</w:t>
      </w:r>
      <w:r>
        <w:rPr>
          <w:sz w:val="21"/>
        </w:rPr>
        <w:t xml:space="preserve"> Un output solo cuenta como válido si existe, se puede leer y cumple su esquema; en el caso del pronóstico, además si sigue vigente.</w:t>
      </w:r>
    </w:p>
    <w:p>
      <w:pPr>
        <w:pStyle w:val="ListBullet"/>
        <w:spacing w:after="60"/>
      </w:pPr>
      <w:r>
        <w:rPr>
          <w:b/>
          <w:sz w:val="21"/>
        </w:rPr>
        <w:t>Sin imputación silenciosa.</w:t>
      </w:r>
      <w:r>
        <w:rPr>
          <w:sz w:val="21"/>
        </w:rPr>
        <w:t xml:space="preserve"> Una comuna o semana sin dato se informa como ausente; no se reemplaza por cero ni por un valor estimado (RN-04, RN-10).</w:t>
      </w:r>
    </w:p>
    <w:p>
      <w:pPr>
        <w:pStyle w:val="ListBullet"/>
        <w:spacing w:after="60"/>
      </w:pPr>
      <w:r>
        <w:rPr>
          <w:b/>
          <w:sz w:val="21"/>
        </w:rPr>
        <w:t>Fuente mutable identificada.</w:t>
      </w:r>
      <w:r>
        <w:rPr>
          <w:sz w:val="21"/>
        </w:rPr>
        <w:t xml:space="preserve"> El año en curso de Urgencias cambia entre descargas; cada Parquet anual declara en sus metadatos el SHA256 del RAW del que proviene.</w:t>
      </w:r>
    </w:p>
    <w:p>
      <w:pPr>
        <w:pStyle w:val="Heading2"/>
      </w:pPr>
      <w:r>
        <w:t>5.3 Modelo de datos</w:t>
      </w:r>
    </w:p>
    <w:p>
      <w:pPr>
        <w:jc w:val="both"/>
      </w:pPr>
      <w:r>
        <w:rPr>
          <w:sz w:val="21"/>
        </w:rPr>
        <w:t xml:space="preserve">El modelo lógico organiza los datos en dimensiones territoriales y temporales, marts de Urgencias, el dataset de Egresos F00–F99 y el pronóstico. Dos invariantes lo recorren: Urgencias se relaciona con los establecimientos por </w:t>
      </w:r>
      <w:r>
        <w:rPr>
          <w:rFonts w:ascii="Consolas" w:hAnsi="Consolas"/>
          <w:sz w:val="20"/>
        </w:rPr>
        <w:t>establecimiento_codigo</w:t>
      </w:r>
      <w:r>
        <w:rPr>
          <w:sz w:val="21"/>
        </w:rPr>
        <w:t>, mientras que Egresos no identifica el establecimiento y su territorio es el de residencia; y no existe ninguna unión entre ambas fuentes a nivel de paciente.</w:t>
      </w:r>
    </w:p>
    <w:p>
      <w:pPr>
        <w:keepNext/>
        <w:spacing w:before="120" w:after="80"/>
        <w:jc w:val="center"/>
      </w:pPr>
      <w:r>
        <w:drawing>
          <wp:inline xmlns:a="http://schemas.openxmlformats.org/drawingml/2006/main" xmlns:pic="http://schemas.openxmlformats.org/drawingml/2006/picture">
            <wp:extent cx="6263999" cy="2841554"/>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3999" cy="2841554"/>
                    </a:xfrm>
                    <a:prstGeom prst="rect"/>
                  </pic:spPr>
                </pic:pic>
              </a:graphicData>
            </a:graphic>
          </wp:inline>
        </w:drawing>
      </w:r>
    </w:p>
    <w:p>
      <w:pPr>
        <w:keepNext/>
        <w:spacing w:before="120" w:after="80"/>
        <w:jc w:val="center"/>
      </w:pPr>
      <w:r>
        <w:drawing>
          <wp:inline xmlns:a="http://schemas.openxmlformats.org/drawingml/2006/main" xmlns:pic="http://schemas.openxmlformats.org/drawingml/2006/picture">
            <wp:extent cx="6263999" cy="2841554"/>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63999" cy="2841554"/>
                    </a:xfrm>
                    <a:prstGeom prst="rect"/>
                  </pic:spPr>
                </pic:pic>
              </a:graphicData>
            </a:graphic>
          </wp:inline>
        </w:drawing>
      </w:r>
    </w:p>
    <w:p>
      <w:pPr>
        <w:spacing w:after="200"/>
        <w:jc w:val="center"/>
      </w:pPr>
      <w:r>
        <w:rPr>
          <w:b/>
          <w:color w:val="5E7685"/>
          <w:sz w:val="18"/>
        </w:rPr>
        <w:t>Figura 3.</w:t>
      </w:r>
      <w:r>
        <w:rPr>
          <w:color w:val="5E7685"/>
          <w:sz w:val="18"/>
        </w:rPr>
        <w:t xml:space="preserve"> Modelo de datos lógico, en dos mitades (izquierda arriba, derecha abajo). Fuente editable: </w:t>
      </w:r>
      <w:r>
        <w:rPr>
          <w:rFonts w:ascii="Consolas" w:hAnsi="Consolas"/>
          <w:color w:val="5E7685"/>
          <w:sz w:val="17"/>
        </w:rPr>
        <w:t>docs/07-diagramas/15-modelo-base-datos/modelo_datos_logico.mmd</w:t>
      </w:r>
      <w:r>
        <w:rPr>
          <w:color w:val="5E7685"/>
          <w:sz w:val="18"/>
        </w:rPr>
        <w:t>. Para leer el detalle de cada entidad se recomienda la versión vectorial (</w:t>
      </w:r>
      <w:r>
        <w:rPr>
          <w:rFonts w:ascii="Consolas" w:hAnsi="Consolas"/>
          <w:color w:val="5E7685"/>
          <w:sz w:val="17"/>
        </w:rPr>
        <w:t>.svg</w:t>
      </w:r>
      <w:r>
        <w:rPr>
          <w:color w:val="5E7685"/>
          <w:sz w:val="18"/>
        </w:rPr>
        <w:t>).</w:t>
      </w:r>
    </w:p>
    <w:p>
      <w:pPr>
        <w:pStyle w:val="Heading2"/>
      </w:pPr>
      <w:r>
        <w:t>5.4 Persistencia relacional: diseñada, aún no en uso</w:t>
      </w:r>
    </w:p>
    <w:p>
      <w:pPr>
        <w:jc w:val="both"/>
      </w:pPr>
      <w:r>
        <w:rPr>
          <w:sz w:val="21"/>
        </w:rPr>
        <w:t xml:space="preserve">El diseño físico en PostgreSQL con PostGIS está escrito y versionado en </w:t>
      </w:r>
      <w:r>
        <w:rPr>
          <w:rFonts w:ascii="Consolas" w:hAnsi="Consolas"/>
          <w:sz w:val="20"/>
        </w:rPr>
        <w:t>db/schema_postgresql.sql</w:t>
      </w:r>
      <w:r>
        <w:rPr>
          <w:sz w:val="21"/>
        </w:rPr>
        <w:t>, con ocho esquemas (</w:t>
      </w:r>
      <w:r>
        <w:rPr>
          <w:rFonts w:ascii="Consolas" w:hAnsi="Consolas"/>
          <w:sz w:val="20"/>
        </w:rPr>
        <w:t>censo</w:t>
      </w:r>
      <w:r>
        <w:rPr>
          <w:sz w:val="21"/>
        </w:rPr>
        <w:t xml:space="preserve">, </w:t>
      </w:r>
      <w:r>
        <w:rPr>
          <w:rFonts w:ascii="Consolas" w:hAnsi="Consolas"/>
          <w:sz w:val="20"/>
        </w:rPr>
        <w:t>pobreza</w:t>
      </w:r>
      <w:r>
        <w:rPr>
          <w:sz w:val="21"/>
        </w:rPr>
        <w:t xml:space="preserve">, </w:t>
      </w:r>
      <w:r>
        <w:rPr>
          <w:rFonts w:ascii="Consolas" w:hAnsi="Consolas"/>
          <w:sz w:val="20"/>
        </w:rPr>
        <w:t>geo</w:t>
      </w:r>
      <w:r>
        <w:rPr>
          <w:sz w:val="21"/>
        </w:rPr>
        <w:t xml:space="preserve">, </w:t>
      </w:r>
      <w:r>
        <w:rPr>
          <w:rFonts w:ascii="Consolas" w:hAnsi="Consolas"/>
          <w:sz w:val="20"/>
        </w:rPr>
        <w:t>urgencias</w:t>
      </w:r>
      <w:r>
        <w:rPr>
          <w:sz w:val="21"/>
        </w:rPr>
        <w:t xml:space="preserve">, </w:t>
      </w:r>
      <w:r>
        <w:rPr>
          <w:rFonts w:ascii="Consolas" w:hAnsi="Consolas"/>
          <w:sz w:val="20"/>
        </w:rPr>
        <w:t>marts</w:t>
      </w:r>
      <w:r>
        <w:rPr>
          <w:sz w:val="21"/>
        </w:rPr>
        <w:t xml:space="preserve">, </w:t>
      </w:r>
      <w:r>
        <w:rPr>
          <w:rFonts w:ascii="Consolas" w:hAnsi="Consolas"/>
          <w:sz w:val="20"/>
        </w:rPr>
        <w:t>egresos</w:t>
      </w:r>
      <w:r>
        <w:rPr>
          <w:sz w:val="21"/>
        </w:rPr>
        <w:t xml:space="preserve">, </w:t>
      </w:r>
      <w:r>
        <w:rPr>
          <w:rFonts w:ascii="Consolas" w:hAnsi="Consolas"/>
          <w:sz w:val="20"/>
        </w:rPr>
        <w:t>contexto_genero</w:t>
      </w:r>
      <w:r>
        <w:rPr>
          <w:sz w:val="21"/>
        </w:rPr>
        <w:t xml:space="preserve"> y </w:t>
      </w:r>
      <w:r>
        <w:rPr>
          <w:rFonts w:ascii="Consolas" w:hAnsi="Consolas"/>
          <w:sz w:val="20"/>
        </w:rPr>
        <w:t>modeling</w:t>
      </w:r>
      <w:r>
        <w:rPr>
          <w:sz w:val="21"/>
        </w:rPr>
        <w:t xml:space="preserve">) y se mantiene coherente con el modelo lógico. Sin embargo, </w:t>
      </w:r>
      <w:r>
        <w:rPr>
          <w:b/>
          <w:sz w:val="21"/>
        </w:rPr>
        <w:t>el sistema vigente no carga ni consulta esa base</w:t>
      </w:r>
      <w:r>
        <w:rPr>
          <w:sz w:val="21"/>
        </w:rPr>
        <w:t>: la API lee los archivos Parquet directamente. La restricción RT-03 queda, por tanto, parcialmente atendida; la brecha y su justificación están en las secciones 10 (ADR-02) y 12.</w:t>
      </w:r>
    </w:p>
    <w:p>
      <w:pPr>
        <w:pStyle w:val="Heading1"/>
      </w:pPr>
      <w:r>
        <w:t>6. Vista de ejecución</w:t>
      </w:r>
    </w:p>
    <w:p>
      <w:pPr>
        <w:jc w:val="both"/>
      </w:pPr>
      <w:r>
        <w:rPr>
          <w:sz w:val="21"/>
        </w:rPr>
        <w:t>El sistema tiene dos procesos independientes, que se encuentran solo en los archivos que uno produce y el otro lee.</w:t>
      </w:r>
    </w:p>
    <w:p>
      <w:pPr>
        <w:keepNext/>
        <w:spacing w:before="120" w:after="80"/>
        <w:jc w:val="center"/>
      </w:pPr>
      <w:r>
        <w:drawing>
          <wp:inline xmlns:a="http://schemas.openxmlformats.org/drawingml/2006/main" xmlns:pic="http://schemas.openxmlformats.org/drawingml/2006/picture">
            <wp:extent cx="6048000" cy="4567406"/>
            <wp:docPr id="6" name="Picture 6"/>
            <wp:cNvGraphicFramePr>
              <a:graphicFrameLocks noChangeAspect="1"/>
            </wp:cNvGraphicFramePr>
            <a:graphic>
              <a:graphicData uri="http://schemas.openxmlformats.org/drawingml/2006/picture">
                <pic:pic>
                  <pic:nvPicPr>
                    <pic:cNvPr id="0" name="arquitectura_ejecucion.png"/>
                    <pic:cNvPicPr/>
                  </pic:nvPicPr>
                  <pic:blipFill>
                    <a:blip r:embed="rId15"/>
                    <a:stretch>
                      <a:fillRect/>
                    </a:stretch>
                  </pic:blipFill>
                  <pic:spPr>
                    <a:xfrm>
                      <a:off x="0" y="0"/>
                      <a:ext cx="6048000" cy="4567406"/>
                    </a:xfrm>
                    <a:prstGeom prst="rect"/>
                  </pic:spPr>
                </pic:pic>
              </a:graphicData>
            </a:graphic>
          </wp:inline>
        </w:drawing>
      </w:r>
    </w:p>
    <w:p>
      <w:pPr>
        <w:spacing w:after="200"/>
        <w:jc w:val="center"/>
      </w:pPr>
      <w:r>
        <w:rPr>
          <w:b/>
          <w:color w:val="5E7685"/>
          <w:sz w:val="18"/>
        </w:rPr>
        <w:t>Figura 4.</w:t>
      </w:r>
      <w:r>
        <w:rPr>
          <w:color w:val="5E7685"/>
          <w:sz w:val="18"/>
        </w:rPr>
        <w:t xml:space="preserve"> Los dos procesos del SAAD. El pronóstico persistido y los marts son el único punto de contacto entre el pipeline y la consulta en línea.</w:t>
      </w:r>
    </w:p>
    <w:p>
      <w:pPr>
        <w:pStyle w:val="Heading2"/>
      </w:pPr>
      <w:r>
        <w:t>6.1 Proceso por lotes: el pipeline</w:t>
      </w:r>
    </w:p>
    <w:p>
      <w:pPr>
        <w:jc w:val="both"/>
      </w:pPr>
      <w:r>
        <w:rPr>
          <w:sz w:val="21"/>
        </w:rPr>
        <w:t xml:space="preserve">Se ejecuta con </w:t>
      </w:r>
      <w:r>
        <w:rPr>
          <w:rFonts w:ascii="Consolas" w:hAnsi="Consolas"/>
          <w:sz w:val="20"/>
        </w:rPr>
        <w:t>python scripts/run_pipeline.py</w:t>
      </w:r>
      <w:r>
        <w:rPr>
          <w:sz w:val="21"/>
        </w:rPr>
        <w:t>, completo o por etapa. Para cada etapa el orquestador decide:</w:t>
      </w:r>
    </w:p>
    <w:p>
      <w:pPr>
        <w:pStyle w:val="ListBullet"/>
        <w:spacing w:after="60"/>
      </w:pPr>
      <w:r>
        <w:rPr>
          <w:b/>
          <w:sz w:val="21"/>
        </w:rPr>
        <w:t>SKIP</w:t>
      </w:r>
      <w:r>
        <w:rPr>
          <w:sz w:val="21"/>
        </w:rPr>
        <w:t xml:space="preserve"> si sus outputs existen, cumplen su contrato y nada cambió aguas arriba.</w:t>
      </w:r>
    </w:p>
    <w:p>
      <w:pPr>
        <w:pStyle w:val="ListBullet"/>
        <w:spacing w:after="60"/>
      </w:pPr>
      <w:r>
        <w:rPr>
          <w:b/>
          <w:sz w:val="21"/>
        </w:rPr>
        <w:t>Regenerar</w:t>
      </w:r>
      <w:r>
        <w:rPr>
          <w:sz w:val="21"/>
        </w:rPr>
        <w:t xml:space="preserve"> si falta un output, si su contrato no se cumple o si una dependencia cambió.</w:t>
      </w:r>
    </w:p>
    <w:p>
      <w:pPr>
        <w:pStyle w:val="ListBullet"/>
        <w:spacing w:after="60"/>
      </w:pPr>
      <w:r>
        <w:rPr>
          <w:b/>
          <w:sz w:val="21"/>
        </w:rPr>
        <w:t>Forzar</w:t>
      </w:r>
      <w:r>
        <w:rPr>
          <w:sz w:val="21"/>
        </w:rPr>
        <w:t xml:space="preserve"> con </w:t>
      </w:r>
      <w:r>
        <w:rPr>
          <w:rFonts w:ascii="Consolas" w:hAnsi="Consolas"/>
          <w:sz w:val="20"/>
        </w:rPr>
        <w:t>--force</w:t>
      </w:r>
      <w:r>
        <w:rPr>
          <w:sz w:val="21"/>
        </w:rPr>
        <w:t>, que regenera la etapa pedida y propaga el cambio solo a las etapas que dependen de ella.</w:t>
      </w:r>
    </w:p>
    <w:p>
      <w:pPr>
        <w:jc w:val="both"/>
      </w:pPr>
      <w:r>
        <w:rPr>
          <w:sz w:val="21"/>
        </w:rPr>
        <w:t xml:space="preserve">Una etapa se considera exitosa únicamente si el proceso termina sin error </w:t>
      </w:r>
      <w:r>
        <w:rPr>
          <w:b/>
          <w:sz w:val="21"/>
        </w:rPr>
        <w:t>y</w:t>
      </w:r>
      <w:r>
        <w:rPr>
          <w:sz w:val="21"/>
        </w:rPr>
        <w:t xml:space="preserve"> sus outputs declarados existen y son válidos. La actualización del año en curso de Urgencias tiene un comando propio (</w:t>
      </w:r>
      <w:r>
        <w:rPr>
          <w:rFonts w:ascii="Consolas" w:hAnsi="Consolas"/>
          <w:sz w:val="20"/>
        </w:rPr>
        <w:t>--refresh-current-urgencias</w:t>
      </w:r>
      <w:r>
        <w:rPr>
          <w:sz w:val="21"/>
        </w:rPr>
        <w:t>) que vuelve a consultar la fuente, compara huellas y regenera solo lo afectado.</w:t>
      </w:r>
    </w:p>
    <w:p>
      <w:pPr>
        <w:pStyle w:val="Heading2"/>
      </w:pPr>
      <w:r>
        <w:t>6.2 Consulta en línea: la API y la aplicación</w:t>
      </w:r>
    </w:p>
    <w:p>
      <w:pPr>
        <w:pStyle w:val="ListNumber"/>
        <w:numPr>
          <w:ilvl w:val="0"/>
          <w:numId w:val="11"/>
        </w:numPr>
        <w:spacing w:after="60"/>
      </w:pPr>
      <w:r>
        <w:rPr>
          <w:sz w:val="21"/>
        </w:rPr>
        <w:t>Al arrancar, la API carga en memoria el panel observado, el mart territorial, la cartografía simplificada y la selección congelada del modelo.</w:t>
      </w:r>
    </w:p>
    <w:p>
      <w:pPr>
        <w:pStyle w:val="ListNumber"/>
        <w:numPr>
          <w:ilvl w:val="0"/>
          <w:numId w:val="11"/>
        </w:numPr>
        <w:spacing w:after="60"/>
      </w:pPr>
      <w:r>
        <w:rPr>
          <w:sz w:val="21"/>
        </w:rPr>
        <w:t xml:space="preserve">En segundo plano obtiene el pronóstico: reutiliza el persistido si sigue vigente; si falta o quedó desactualizado, lo recalcula en memoria y lo declara en </w:t>
      </w:r>
      <w:r>
        <w:rPr>
          <w:rFonts w:ascii="Consolas" w:hAnsi="Consolas"/>
          <w:sz w:val="20"/>
        </w:rPr>
        <w:t>/meta</w:t>
      </w:r>
      <w:r>
        <w:rPr>
          <w:sz w:val="21"/>
        </w:rPr>
        <w:t>.</w:t>
      </w:r>
    </w:p>
    <w:p>
      <w:pPr>
        <w:pStyle w:val="ListNumber"/>
        <w:numPr>
          <w:ilvl w:val="0"/>
          <w:numId w:val="11"/>
        </w:numPr>
        <w:spacing w:after="60"/>
      </w:pPr>
      <w:r>
        <w:rPr>
          <w:sz w:val="21"/>
        </w:rPr>
        <w:t>Cada consulta filtra y serializa tablas pequeñas ya cargadas; no lee disco ni ajusta modelos.</w:t>
      </w:r>
    </w:p>
    <w:p>
      <w:pPr>
        <w:pStyle w:val="ListNumber"/>
        <w:numPr>
          <w:ilvl w:val="0"/>
          <w:numId w:val="11"/>
        </w:numPr>
        <w:spacing w:after="60"/>
      </w:pPr>
      <w:r>
        <w:rPr>
          <w:sz w:val="21"/>
        </w:rPr>
        <w:t xml:space="preserve">Mientras la carga o el cálculo no terminan, los endpoints afectados responden </w:t>
      </w:r>
      <w:r>
        <w:rPr>
          <w:rFonts w:ascii="Consolas" w:hAnsi="Consolas"/>
          <w:sz w:val="20"/>
        </w:rPr>
        <w:t>503</w:t>
      </w:r>
      <w:r>
        <w:rPr>
          <w:sz w:val="21"/>
        </w:rPr>
        <w:t xml:space="preserve"> con </w:t>
      </w:r>
      <w:r>
        <w:rPr>
          <w:rFonts w:ascii="Consolas" w:hAnsi="Consolas"/>
          <w:sz w:val="20"/>
        </w:rPr>
        <w:t>Retry-After</w:t>
      </w:r>
      <w:r>
        <w:rPr>
          <w:sz w:val="21"/>
        </w:rPr>
        <w:t>; el cliente reintenta y la interfaz muestra un estado de espera.</w:t>
      </w:r>
    </w:p>
    <w:p>
      <w:pPr>
        <w:pStyle w:val="Heading2"/>
      </w:pPr>
      <w:r>
        <w:t>6.3 Concurrencia y estado</w:t>
      </w:r>
    </w:p>
    <w:p>
      <w:pPr>
        <w:jc w:val="both"/>
      </w:pPr>
      <w:r>
        <w:rPr>
          <w:sz w:val="21"/>
        </w:rPr>
        <w:t xml:space="preserve">La API es un único proceso con estado en memoria. El cálculo del pronóstico está protegido por un candado, de modo que dos solicitudes simultáneas no lo disparan dos veces. Como todas las operaciones son de lectura sobre datos inmutables durante la vida del proceso, no hay condiciones de carrera sobre los datos. La consecuencia es que </w:t>
      </w:r>
      <w:r>
        <w:rPr>
          <w:b/>
          <w:sz w:val="21"/>
        </w:rPr>
        <w:t>un snapshot nuevo solo se refleja al reiniciar la API</w:t>
      </w:r>
      <w:r>
        <w:rPr>
          <w:sz w:val="21"/>
        </w:rPr>
        <w:t>; es una limitación aceptada para el MVP y coherente con el uso acotado previsto (hasta 20 sesiones concurrentes, ERNF sección 3).</w:t>
      </w:r>
    </w:p>
    <w:p>
      <w:pPr>
        <w:pStyle w:val="Heading1"/>
      </w:pPr>
      <w:r>
        <w:t>7. Vista de desarrollo</w:t>
      </w:r>
    </w:p>
    <w:p>
      <w:pPr>
        <w:pStyle w:val="Heading2"/>
      </w:pPr>
      <w:r>
        <w:t>7.1 Organización del repositorio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1814"/>
            <w:shd w:val="clear" w:color="auto" w:fill="0B4660"/>
          </w:tcPr>
          <w:p>
            <w:pPr>
              <w:keepNext/>
              <w:spacing w:before="40" w:after="40"/>
            </w:pPr>
            <w:r>
              <w:rPr>
                <w:b/>
                <w:color w:val="FFFFFF"/>
                <w:sz w:val="18"/>
              </w:rPr>
              <w:t>Ruta</w:t>
            </w:r>
          </w:p>
        </w:tc>
        <w:tc>
          <w:tcPr>
            <w:tcW w:type="dxa" w:w="4309"/>
            <w:shd w:val="clear" w:color="auto" w:fill="0B4660"/>
          </w:tcPr>
          <w:p>
            <w:pPr>
              <w:keepNext/>
              <w:spacing w:before="40" w:after="40"/>
            </w:pPr>
            <w:r>
              <w:rPr>
                <w:b/>
                <w:color w:val="FFFFFF"/>
                <w:sz w:val="18"/>
              </w:rPr>
              <w:t>Contenido</w:t>
            </w:r>
          </w:p>
        </w:tc>
        <w:tc>
          <w:tcPr>
            <w:tcW w:type="dxa" w:w="3912"/>
            <w:shd w:val="clear" w:color="auto" w:fill="0B4660"/>
          </w:tcPr>
          <w:p>
            <w:pPr>
              <w:keepNext/>
              <w:spacing w:before="40" w:after="40"/>
            </w:pPr>
            <w:r>
              <w:rPr>
                <w:b/>
                <w:color w:val="FFFFFF"/>
                <w:sz w:val="18"/>
              </w:rPr>
              <w:t>Regla</w:t>
            </w:r>
          </w:p>
        </w:tc>
      </w:tr>
      <w:tr>
        <w:trPr>
          <w:cantSplit w:val="true"/>
        </w:trPr>
        <w:tc>
          <w:tcPr>
            <w:tcW w:type="dxa" w:w="1814"/>
          </w:tcPr>
          <w:p>
            <w:pPr>
              <w:spacing w:before="40" w:after="40"/>
            </w:pPr>
            <w:r>
              <w:rPr>
                <w:rFonts w:ascii="Consolas" w:hAnsi="Consolas"/>
                <w:b/>
                <w:sz w:val="18"/>
              </w:rPr>
              <w:t>src/data/</w:t>
            </w:r>
          </w:p>
        </w:tc>
        <w:tc>
          <w:tcPr>
            <w:tcW w:type="dxa" w:w="4309"/>
          </w:tcPr>
          <w:p>
            <w:pPr>
              <w:spacing w:before="40" w:after="40"/>
            </w:pPr>
            <w:r>
              <w:rPr>
                <w:sz w:val="18"/>
              </w:rPr>
              <w:t>27 módulos de ingesta, limpieza, dimensiones, marts y contratos.</w:t>
            </w:r>
          </w:p>
        </w:tc>
        <w:tc>
          <w:tcPr>
            <w:tcW w:type="dxa" w:w="3912"/>
          </w:tcPr>
          <w:p>
            <w:pPr>
              <w:spacing w:before="40" w:after="40"/>
            </w:pPr>
            <w:r>
              <w:rPr>
                <w:sz w:val="18"/>
              </w:rPr>
              <w:t>Solo se ejecutan a través del pipeline para generar outputs oficiales.</w:t>
            </w:r>
          </w:p>
        </w:tc>
      </w:tr>
      <w:tr>
        <w:trPr>
          <w:cantSplit w:val="true"/>
        </w:trPr>
        <w:tc>
          <w:tcPr>
            <w:tcW w:type="dxa" w:w="1814"/>
            <w:shd w:val="clear" w:color="auto" w:fill="EEF3F6"/>
          </w:tcPr>
          <w:p>
            <w:pPr>
              <w:spacing w:before="40" w:after="40"/>
            </w:pPr>
            <w:r>
              <w:rPr>
                <w:rFonts w:ascii="Consolas" w:hAnsi="Consolas"/>
                <w:b/>
                <w:sz w:val="18"/>
              </w:rPr>
              <w:t>src/models/</w:t>
            </w:r>
          </w:p>
        </w:tc>
        <w:tc>
          <w:tcPr>
            <w:tcW w:type="dxa" w:w="4309"/>
            <w:shd w:val="clear" w:color="auto" w:fill="EEF3F6"/>
          </w:tcPr>
          <w:p>
            <w:pPr>
              <w:spacing w:before="40" w:after="40"/>
            </w:pPr>
            <w:r>
              <w:rPr>
                <w:sz w:val="18"/>
              </w:rPr>
              <w:t>14 módulos: variables, modelos, backtesting, jerarquía, intervalos, registro y persistencia.</w:t>
            </w:r>
          </w:p>
        </w:tc>
        <w:tc>
          <w:tcPr>
            <w:tcW w:type="dxa" w:w="3912"/>
            <w:shd w:val="clear" w:color="auto" w:fill="EEF3F6"/>
          </w:tcPr>
          <w:p>
            <w:pPr>
              <w:spacing w:before="40" w:after="40"/>
            </w:pPr>
            <w:r>
              <w:rPr>
                <w:sz w:val="18"/>
              </w:rPr>
              <w:t>Sin años ni comunas fijos en el código; semilla explícita en todo lo estocástico.</w:t>
            </w:r>
          </w:p>
        </w:tc>
      </w:tr>
      <w:tr>
        <w:trPr>
          <w:cantSplit w:val="true"/>
        </w:trPr>
        <w:tc>
          <w:tcPr>
            <w:tcW w:type="dxa" w:w="1814"/>
          </w:tcPr>
          <w:p>
            <w:pPr>
              <w:spacing w:before="40" w:after="40"/>
            </w:pPr>
            <w:r>
              <w:rPr>
                <w:rFonts w:ascii="Consolas" w:hAnsi="Consolas"/>
                <w:b/>
                <w:sz w:val="18"/>
              </w:rPr>
              <w:t>src/api/</w:t>
            </w:r>
          </w:p>
        </w:tc>
        <w:tc>
          <w:tcPr>
            <w:tcW w:type="dxa" w:w="4309"/>
          </w:tcPr>
          <w:p>
            <w:pPr>
              <w:spacing w:before="40" w:after="40"/>
            </w:pPr>
            <w:r>
              <w:rPr>
                <w:sz w:val="18"/>
              </w:rPr>
              <w:t>5 módulos: aplicación, rutas, contratos y servicio.</w:t>
            </w:r>
          </w:p>
        </w:tc>
        <w:tc>
          <w:tcPr>
            <w:tcW w:type="dxa" w:w="3912"/>
          </w:tcPr>
          <w:p>
            <w:pPr>
              <w:spacing w:before="40" w:after="40"/>
            </w:pPr>
            <w:r>
              <w:rPr>
                <w:sz w:val="18"/>
              </w:rPr>
              <w:t>Solo lectura; consume outputs del pipeline, no los genera.</w:t>
            </w:r>
          </w:p>
        </w:tc>
      </w:tr>
      <w:tr>
        <w:trPr>
          <w:cantSplit w:val="true"/>
        </w:trPr>
        <w:tc>
          <w:tcPr>
            <w:tcW w:type="dxa" w:w="1814"/>
            <w:shd w:val="clear" w:color="auto" w:fill="EEF3F6"/>
          </w:tcPr>
          <w:p>
            <w:pPr>
              <w:spacing w:before="40" w:after="40"/>
            </w:pPr>
            <w:r>
              <w:rPr>
                <w:rFonts w:ascii="Consolas" w:hAnsi="Consolas"/>
                <w:b/>
                <w:sz w:val="18"/>
              </w:rPr>
              <w:t>scripts/</w:t>
            </w:r>
          </w:p>
        </w:tc>
        <w:tc>
          <w:tcPr>
            <w:tcW w:type="dxa" w:w="4309"/>
            <w:shd w:val="clear" w:color="auto" w:fill="EEF3F6"/>
          </w:tcPr>
          <w:p>
            <w:pPr>
              <w:spacing w:before="40" w:after="40"/>
            </w:pPr>
            <w:r>
              <w:rPr>
                <w:sz w:val="18"/>
              </w:rPr>
              <w:t>Orquestador, etapas de análisis y generadores de documentos.</w:t>
            </w:r>
          </w:p>
        </w:tc>
        <w:tc>
          <w:tcPr>
            <w:tcW w:type="dxa" w:w="3912"/>
            <w:shd w:val="clear" w:color="auto" w:fill="EEF3F6"/>
          </w:tcPr>
          <w:p>
            <w:pPr>
              <w:spacing w:before="40" w:after="40"/>
            </w:pPr>
            <w:r>
              <w:rPr>
                <w:sz w:val="18"/>
              </w:rPr>
              <w:t>Todo script permanente debe estar registrado en el DAG.</w:t>
            </w:r>
          </w:p>
        </w:tc>
      </w:tr>
      <w:tr>
        <w:trPr>
          <w:cantSplit w:val="true"/>
        </w:trPr>
        <w:tc>
          <w:tcPr>
            <w:tcW w:type="dxa" w:w="1814"/>
          </w:tcPr>
          <w:p>
            <w:pPr>
              <w:spacing w:before="40" w:after="40"/>
            </w:pPr>
            <w:r>
              <w:rPr>
                <w:rFonts w:ascii="Consolas" w:hAnsi="Consolas"/>
                <w:b/>
                <w:sz w:val="18"/>
              </w:rPr>
              <w:t>frontend/</w:t>
            </w:r>
          </w:p>
        </w:tc>
        <w:tc>
          <w:tcPr>
            <w:tcW w:type="dxa" w:w="4309"/>
          </w:tcPr>
          <w:p>
            <w:pPr>
              <w:spacing w:before="40" w:after="40"/>
            </w:pPr>
            <w:r>
              <w:rPr>
                <w:sz w:val="18"/>
              </w:rPr>
              <w:t>Aplicación React con TypeScript, su configuración y los recursos de marca.</w:t>
            </w:r>
          </w:p>
        </w:tc>
        <w:tc>
          <w:tcPr>
            <w:tcW w:type="dxa" w:w="3912"/>
          </w:tcPr>
          <w:p>
            <w:pPr>
              <w:spacing w:before="40" w:after="40"/>
            </w:pPr>
            <w:r>
              <w:rPr>
                <w:sz w:val="18"/>
              </w:rPr>
              <w:t xml:space="preserve">Accede a los datos únicamente por </w:t>
            </w:r>
            <w:r>
              <w:rPr>
                <w:rFonts w:ascii="Consolas" w:hAnsi="Consolas"/>
                <w:sz w:val="18"/>
              </w:rPr>
              <w:t>frontend/src/api.ts</w:t>
            </w:r>
            <w:r>
              <w:rPr>
                <w:sz w:val="18"/>
              </w:rPr>
              <w:t>.</w:t>
            </w:r>
          </w:p>
        </w:tc>
      </w:tr>
      <w:tr>
        <w:trPr>
          <w:cantSplit w:val="true"/>
        </w:trPr>
        <w:tc>
          <w:tcPr>
            <w:tcW w:type="dxa" w:w="1814"/>
            <w:shd w:val="clear" w:color="auto" w:fill="EEF3F6"/>
          </w:tcPr>
          <w:p>
            <w:pPr>
              <w:spacing w:before="40" w:after="40"/>
            </w:pPr>
            <w:r>
              <w:rPr>
                <w:rFonts w:ascii="Consolas" w:hAnsi="Consolas"/>
                <w:b/>
                <w:sz w:val="18"/>
              </w:rPr>
              <w:t>tests/</w:t>
            </w:r>
          </w:p>
        </w:tc>
        <w:tc>
          <w:tcPr>
            <w:tcW w:type="dxa" w:w="4309"/>
            <w:shd w:val="clear" w:color="auto" w:fill="EEF3F6"/>
          </w:tcPr>
          <w:p>
            <w:pPr>
              <w:spacing w:before="40" w:after="40"/>
            </w:pPr>
            <w:r>
              <w:rPr>
                <w:sz w:val="18"/>
              </w:rPr>
              <w:t>32 archivos, 415 pruebas automatizadas.</w:t>
            </w:r>
          </w:p>
        </w:tc>
        <w:tc>
          <w:tcPr>
            <w:tcW w:type="dxa" w:w="3912"/>
            <w:shd w:val="clear" w:color="auto" w:fill="EEF3F6"/>
          </w:tcPr>
          <w:p>
            <w:pPr>
              <w:spacing w:before="40" w:after="40"/>
            </w:pPr>
            <w:r>
              <w:rPr>
                <w:sz w:val="18"/>
              </w:rPr>
              <w:t>Cada función de transformación o cálculo analítico tiene su prueba.</w:t>
            </w:r>
          </w:p>
        </w:tc>
      </w:tr>
      <w:tr>
        <w:trPr>
          <w:cantSplit w:val="true"/>
        </w:trPr>
        <w:tc>
          <w:tcPr>
            <w:tcW w:type="dxa" w:w="1814"/>
          </w:tcPr>
          <w:p>
            <w:pPr>
              <w:spacing w:before="40" w:after="40"/>
            </w:pPr>
            <w:r>
              <w:rPr>
                <w:rFonts w:ascii="Consolas" w:hAnsi="Consolas"/>
                <w:b/>
                <w:sz w:val="18"/>
              </w:rPr>
              <w:t>db/</w:t>
            </w:r>
          </w:p>
        </w:tc>
        <w:tc>
          <w:tcPr>
            <w:tcW w:type="dxa" w:w="4309"/>
          </w:tcPr>
          <w:p>
            <w:pPr>
              <w:spacing w:before="40" w:after="40"/>
            </w:pPr>
            <w:r>
              <w:rPr>
                <w:sz w:val="18"/>
              </w:rPr>
              <w:t>Diseño físico PostgreSQL/PostGIS.</w:t>
            </w:r>
          </w:p>
        </w:tc>
        <w:tc>
          <w:tcPr>
            <w:tcW w:type="dxa" w:w="3912"/>
          </w:tcPr>
          <w:p>
            <w:pPr>
              <w:spacing w:before="40" w:after="40"/>
            </w:pPr>
            <w:r>
              <w:rPr>
                <w:sz w:val="18"/>
              </w:rPr>
              <w:t>Coherente con el modelo lógico y el UML.</w:t>
            </w:r>
          </w:p>
        </w:tc>
      </w:tr>
      <w:tr>
        <w:trPr>
          <w:cantSplit w:val="true"/>
        </w:trPr>
        <w:tc>
          <w:tcPr>
            <w:tcW w:type="dxa" w:w="1814"/>
            <w:shd w:val="clear" w:color="auto" w:fill="EEF3F6"/>
          </w:tcPr>
          <w:p>
            <w:pPr>
              <w:spacing w:before="40" w:after="40"/>
            </w:pPr>
            <w:r>
              <w:rPr>
                <w:rFonts w:ascii="Consolas" w:hAnsi="Consolas"/>
                <w:b/>
                <w:sz w:val="18"/>
              </w:rPr>
              <w:t>docs/</w:t>
            </w:r>
            <w:r>
              <w:rPr>
                <w:b/>
                <w:sz w:val="18"/>
              </w:rPr>
              <w:t xml:space="preserve">, </w:t>
            </w:r>
            <w:r>
              <w:rPr>
                <w:rFonts w:ascii="Consolas" w:hAnsi="Consolas"/>
                <w:b/>
                <w:sz w:val="18"/>
              </w:rPr>
              <w:t>reports/</w:t>
            </w:r>
          </w:p>
        </w:tc>
        <w:tc>
          <w:tcPr>
            <w:tcW w:type="dxa" w:w="4309"/>
            <w:shd w:val="clear" w:color="auto" w:fill="EEF3F6"/>
          </w:tcPr>
          <w:p>
            <w:pPr>
              <w:spacing w:before="40" w:after="40"/>
            </w:pPr>
            <w:r>
              <w:rPr>
                <w:sz w:val="18"/>
              </w:rPr>
              <w:t>Documentación formal, diagramas e informes reproducibles.</w:t>
            </w:r>
          </w:p>
        </w:tc>
        <w:tc>
          <w:tcPr>
            <w:tcW w:type="dxa" w:w="3912"/>
            <w:shd w:val="clear" w:color="auto" w:fill="EEF3F6"/>
          </w:tcPr>
          <w:p>
            <w:pPr>
              <w:spacing w:before="40" w:after="40"/>
            </w:pPr>
            <w:r>
              <w:rPr>
                <w:sz w:val="18"/>
              </w:rPr>
              <w:t>Los informes generados no se editan a mano.</w:t>
            </w:r>
          </w:p>
        </w:tc>
      </w:tr>
    </w:tbl>
    <w:p>
      <w:pPr>
        <w:spacing w:after="80"/>
      </w:pPr>
    </w:p>
    <w:p>
      <w:pPr>
        <w:pStyle w:val="Heading2"/>
      </w:pPr>
      <w:r>
        <w:t>7.2 Reglas de dependencia</w:t>
      </w:r>
    </w:p>
    <w:p>
      <w:pPr>
        <w:pStyle w:val="ListBullet"/>
        <w:spacing w:after="60"/>
      </w:pPr>
      <w:r>
        <w:rPr>
          <w:rFonts w:ascii="Consolas" w:hAnsi="Consolas"/>
          <w:sz w:val="20"/>
        </w:rPr>
        <w:t>src/api/</w:t>
      </w:r>
      <w:r>
        <w:rPr>
          <w:sz w:val="21"/>
        </w:rPr>
        <w:t xml:space="preserve"> puede importar </w:t>
      </w:r>
      <w:r>
        <w:rPr>
          <w:rFonts w:ascii="Consolas" w:hAnsi="Consolas"/>
          <w:sz w:val="20"/>
        </w:rPr>
        <w:t>src/models/</w:t>
      </w:r>
      <w:r>
        <w:rPr>
          <w:sz w:val="21"/>
        </w:rPr>
        <w:t xml:space="preserve"> y </w:t>
      </w:r>
      <w:r>
        <w:rPr>
          <w:rFonts w:ascii="Consolas" w:hAnsi="Consolas"/>
          <w:sz w:val="20"/>
        </w:rPr>
        <w:t>src/data/</w:t>
      </w:r>
      <w:r>
        <w:rPr>
          <w:sz w:val="21"/>
        </w:rPr>
        <w:t>; lo contrario está prohibido.</w:t>
      </w:r>
    </w:p>
    <w:p>
      <w:pPr>
        <w:pStyle w:val="ListBullet"/>
        <w:spacing w:after="60"/>
      </w:pPr>
      <w:r>
        <w:rPr>
          <w:rFonts w:ascii="Consolas" w:hAnsi="Consolas"/>
          <w:sz w:val="20"/>
        </w:rPr>
        <w:t>src/models/</w:t>
      </w:r>
      <w:r>
        <w:rPr>
          <w:sz w:val="21"/>
        </w:rPr>
        <w:t xml:space="preserve"> no conoce la API ni la interfaz; solo recibe tablas y devuelve tablas.</w:t>
      </w:r>
    </w:p>
    <w:p>
      <w:pPr>
        <w:pStyle w:val="ListBullet"/>
        <w:spacing w:after="60"/>
      </w:pPr>
      <w:r>
        <w:rPr>
          <w:rFonts w:ascii="Consolas" w:hAnsi="Consolas"/>
          <w:sz w:val="20"/>
        </w:rPr>
        <w:t>frontend/</w:t>
      </w:r>
      <w:r>
        <w:rPr>
          <w:sz w:val="21"/>
        </w:rPr>
        <w:t xml:space="preserve"> no importa nada de Python: su único contrato es HTTP/JSON.</w:t>
      </w:r>
    </w:p>
    <w:p>
      <w:pPr>
        <w:pStyle w:val="ListBullet"/>
        <w:spacing w:after="60"/>
      </w:pPr>
      <w:r>
        <w:rPr>
          <w:sz w:val="21"/>
        </w:rPr>
        <w:t xml:space="preserve">Ningún módulo escribe en </w:t>
      </w:r>
      <w:r>
        <w:rPr>
          <w:rFonts w:ascii="Consolas" w:hAnsi="Consolas"/>
          <w:sz w:val="20"/>
        </w:rPr>
        <w:t>data/raw/</w:t>
      </w:r>
      <w:r>
        <w:rPr>
          <w:sz w:val="21"/>
        </w:rPr>
        <w:t xml:space="preserve"> salvo las etapas de ingesta.</w:t>
      </w:r>
    </w:p>
    <w:p>
      <w:pPr>
        <w:pStyle w:val="Heading2"/>
      </w:pPr>
      <w:r>
        <w:t>7.3 Verificación</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948"/>
            <w:shd w:val="clear" w:color="auto" w:fill="0B4660"/>
          </w:tcPr>
          <w:p>
            <w:pPr>
              <w:keepNext/>
              <w:spacing w:before="40" w:after="40"/>
            </w:pPr>
            <w:r>
              <w:rPr>
                <w:b/>
                <w:color w:val="FFFFFF"/>
                <w:sz w:val="18"/>
              </w:rPr>
              <w:t>Mecanismo</w:t>
            </w:r>
          </w:p>
        </w:tc>
        <w:tc>
          <w:tcPr>
            <w:tcW w:type="dxa" w:w="4592"/>
            <w:shd w:val="clear" w:color="auto" w:fill="0B4660"/>
          </w:tcPr>
          <w:p>
            <w:pPr>
              <w:keepNext/>
              <w:spacing w:before="40" w:after="40"/>
            </w:pPr>
            <w:r>
              <w:rPr>
                <w:b/>
                <w:color w:val="FFFFFF"/>
                <w:sz w:val="18"/>
              </w:rPr>
              <w:t>Qué cubre</w:t>
            </w:r>
          </w:p>
        </w:tc>
        <w:tc>
          <w:tcPr>
            <w:tcW w:type="dxa" w:w="2494"/>
            <w:shd w:val="clear" w:color="auto" w:fill="0B4660"/>
          </w:tcPr>
          <w:p>
            <w:pPr>
              <w:keepNext/>
              <w:spacing w:before="40" w:after="40"/>
            </w:pPr>
            <w:r>
              <w:rPr>
                <w:b/>
                <w:color w:val="FFFFFF"/>
                <w:sz w:val="18"/>
              </w:rPr>
              <w:t>Estado</w:t>
            </w:r>
          </w:p>
        </w:tc>
      </w:tr>
      <w:tr>
        <w:trPr>
          <w:cantSplit w:val="true"/>
        </w:trPr>
        <w:tc>
          <w:tcPr>
            <w:tcW w:type="dxa" w:w="2948"/>
          </w:tcPr>
          <w:p>
            <w:pPr>
              <w:spacing w:before="40" w:after="40"/>
            </w:pPr>
            <w:r>
              <w:rPr>
                <w:b/>
                <w:sz w:val="18"/>
              </w:rPr>
              <w:t>Pruebas unitarias y de contrato (pytest)</w:t>
            </w:r>
          </w:p>
        </w:tc>
        <w:tc>
          <w:tcPr>
            <w:tcW w:type="dxa" w:w="4592"/>
          </w:tcPr>
          <w:p>
            <w:pPr>
              <w:spacing w:before="40" w:after="40"/>
            </w:pPr>
            <w:r>
              <w:rPr>
                <w:sz w:val="18"/>
              </w:rPr>
              <w:t>Transformaciones, modelos, persistencia, contratos de output, orquestación y API.</w:t>
            </w:r>
          </w:p>
        </w:tc>
        <w:tc>
          <w:tcPr>
            <w:tcW w:type="dxa" w:w="2494"/>
          </w:tcPr>
          <w:p>
            <w:pPr>
              <w:spacing w:before="40" w:after="40"/>
            </w:pPr>
            <w:r>
              <w:rPr>
                <w:sz w:val="18"/>
              </w:rPr>
              <w:t>415 pruebas, ejecutadas localmente.</w:t>
            </w:r>
          </w:p>
        </w:tc>
      </w:tr>
      <w:tr>
        <w:trPr>
          <w:cantSplit w:val="true"/>
        </w:trPr>
        <w:tc>
          <w:tcPr>
            <w:tcW w:type="dxa" w:w="2948"/>
            <w:shd w:val="clear" w:color="auto" w:fill="EEF3F6"/>
          </w:tcPr>
          <w:p>
            <w:pPr>
              <w:spacing w:before="40" w:after="40"/>
            </w:pPr>
            <w:r>
              <w:rPr>
                <w:b/>
                <w:sz w:val="18"/>
              </w:rPr>
              <w:t>Verificación de tipos del frontend</w:t>
            </w:r>
          </w:p>
        </w:tc>
        <w:tc>
          <w:tcPr>
            <w:tcW w:type="dxa" w:w="4592"/>
            <w:shd w:val="clear" w:color="auto" w:fill="EEF3F6"/>
          </w:tcPr>
          <w:p>
            <w:pPr>
              <w:spacing w:before="40" w:after="40"/>
            </w:pPr>
            <w:r>
              <w:rPr>
                <w:sz w:val="18"/>
              </w:rPr>
              <w:t>Compilación estricta de TypeScript y construcción de producción con Vite.</w:t>
            </w:r>
          </w:p>
        </w:tc>
        <w:tc>
          <w:tcPr>
            <w:tcW w:type="dxa" w:w="2494"/>
            <w:shd w:val="clear" w:color="auto" w:fill="EEF3F6"/>
          </w:tcPr>
          <w:p>
            <w:pPr>
              <w:spacing w:before="40" w:after="40"/>
            </w:pPr>
            <w:r>
              <w:rPr>
                <w:sz w:val="18"/>
              </w:rPr>
              <w:t>Manual, antes de integrar.</w:t>
            </w:r>
          </w:p>
        </w:tc>
      </w:tr>
      <w:tr>
        <w:trPr>
          <w:cantSplit w:val="true"/>
        </w:trPr>
        <w:tc>
          <w:tcPr>
            <w:tcW w:type="dxa" w:w="2948"/>
          </w:tcPr>
          <w:p>
            <w:pPr>
              <w:spacing w:before="40" w:after="40"/>
            </w:pPr>
            <w:r>
              <w:rPr>
                <w:b/>
                <w:sz w:val="18"/>
              </w:rPr>
              <w:t>Contratos de output en el pipeline</w:t>
            </w:r>
          </w:p>
        </w:tc>
        <w:tc>
          <w:tcPr>
            <w:tcW w:type="dxa" w:w="4592"/>
          </w:tcPr>
          <w:p>
            <w:pPr>
              <w:spacing w:before="40" w:after="40"/>
            </w:pPr>
            <w:r>
              <w:rPr>
                <w:sz w:val="18"/>
              </w:rPr>
              <w:t>Esquema y vigencia de los outputs antes de aceptar un SKIP.</w:t>
            </w:r>
          </w:p>
        </w:tc>
        <w:tc>
          <w:tcPr>
            <w:tcW w:type="dxa" w:w="2494"/>
          </w:tcPr>
          <w:p>
            <w:pPr>
              <w:spacing w:before="40" w:after="40"/>
            </w:pPr>
            <w:r>
              <w:rPr>
                <w:sz w:val="18"/>
              </w:rPr>
              <w:t>Automático en cada ejecución.</w:t>
            </w:r>
          </w:p>
        </w:tc>
      </w:tr>
      <w:tr>
        <w:trPr>
          <w:cantSplit w:val="true"/>
        </w:trPr>
        <w:tc>
          <w:tcPr>
            <w:tcW w:type="dxa" w:w="2948"/>
            <w:shd w:val="clear" w:color="auto" w:fill="EEF3F6"/>
          </w:tcPr>
          <w:p>
            <w:pPr>
              <w:spacing w:before="40" w:after="40"/>
            </w:pPr>
            <w:r>
              <w:rPr>
                <w:b/>
                <w:sz w:val="18"/>
              </w:rPr>
              <w:t>Integración continua</w:t>
            </w:r>
          </w:p>
        </w:tc>
        <w:tc>
          <w:tcPr>
            <w:tcW w:type="dxa" w:w="4592"/>
            <w:shd w:val="clear" w:color="auto" w:fill="EEF3F6"/>
          </w:tcPr>
          <w:p>
            <w:pPr>
              <w:spacing w:before="40" w:after="40"/>
            </w:pPr>
            <w:r>
              <w:rPr>
                <w:sz w:val="18"/>
              </w:rPr>
              <w:t>Ejecución automática de las pruebas en cada cambio propuesto (RNF-MAN-005).</w:t>
            </w:r>
          </w:p>
        </w:tc>
        <w:tc>
          <w:tcPr>
            <w:tcW w:type="dxa" w:w="2494"/>
            <w:shd w:val="clear" w:color="auto" w:fill="EEF3F6"/>
          </w:tcPr>
          <w:p>
            <w:pPr>
              <w:spacing w:before="40" w:after="40"/>
            </w:pPr>
            <w:r>
              <w:rPr>
                <w:sz w:val="18"/>
              </w:rPr>
              <w:t>Pendiente: no existe flujo de CI.</w:t>
            </w:r>
          </w:p>
        </w:tc>
      </w:tr>
    </w:tbl>
    <w:p>
      <w:pPr>
        <w:spacing w:after="80"/>
      </w:pPr>
    </w:p>
    <w:p>
      <w:pPr>
        <w:pStyle w:val="Heading2"/>
      </w:pPr>
      <w:r>
        <w:t>7.4 Gestión de configuración</w:t>
      </w:r>
    </w:p>
    <w:p>
      <w:pPr>
        <w:pStyle w:val="ListBullet"/>
        <w:spacing w:after="60"/>
      </w:pPr>
      <w:r>
        <w:rPr>
          <w:sz w:val="21"/>
        </w:rPr>
        <w:t xml:space="preserve">Las dependencias de Python están fijadas por versión en </w:t>
      </w:r>
      <w:r>
        <w:rPr>
          <w:rFonts w:ascii="Consolas" w:hAnsi="Consolas"/>
          <w:sz w:val="20"/>
        </w:rPr>
        <w:t>requirements.txt</w:t>
      </w:r>
      <w:r>
        <w:rPr>
          <w:sz w:val="21"/>
        </w:rPr>
        <w:t xml:space="preserve">; las del frontend, en </w:t>
      </w:r>
      <w:r>
        <w:rPr>
          <w:rFonts w:ascii="Consolas" w:hAnsi="Consolas"/>
          <w:sz w:val="20"/>
        </w:rPr>
        <w:t>frontend/package.json</w:t>
      </w:r>
      <w:r>
        <w:rPr>
          <w:sz w:val="21"/>
        </w:rPr>
        <w:t xml:space="preserve"> y su archivo de bloqueo.</w:t>
      </w:r>
    </w:p>
    <w:p>
      <w:pPr>
        <w:pStyle w:val="ListBullet"/>
        <w:spacing w:after="60"/>
      </w:pPr>
      <w:r>
        <w:rPr>
          <w:sz w:val="21"/>
        </w:rPr>
        <w:t xml:space="preserve">Los valores sensibles se reciben por variables de entorno y nunca se versionan: </w:t>
      </w:r>
      <w:r>
        <w:rPr>
          <w:rFonts w:ascii="Consolas" w:hAnsi="Consolas"/>
          <w:sz w:val="20"/>
        </w:rPr>
        <w:t>frontend/.env.local</w:t>
      </w:r>
      <w:r>
        <w:rPr>
          <w:sz w:val="21"/>
        </w:rPr>
        <w:t xml:space="preserve"> para la clave del mapa base, con </w:t>
      </w:r>
      <w:r>
        <w:rPr>
          <w:rFonts w:ascii="Consolas" w:hAnsi="Consolas"/>
          <w:sz w:val="20"/>
        </w:rPr>
        <w:t>frontend/.env.example</w:t>
      </w:r>
      <w:r>
        <w:rPr>
          <w:sz w:val="21"/>
        </w:rPr>
        <w:t xml:space="preserve"> como plantilla.</w:t>
      </w:r>
    </w:p>
    <w:p>
      <w:pPr>
        <w:pStyle w:val="ListBullet"/>
        <w:spacing w:after="60"/>
      </w:pPr>
      <w:r>
        <w:rPr>
          <w:sz w:val="21"/>
        </w:rPr>
        <w:t>La configuración no sensible es versionada: orígenes permitidos de la API (</w:t>
      </w:r>
      <w:r>
        <w:rPr>
          <w:rFonts w:ascii="Consolas" w:hAnsi="Consolas"/>
          <w:sz w:val="20"/>
        </w:rPr>
        <w:t>SAAD_CORS_ORIGINS</w:t>
      </w:r>
      <w:r>
        <w:rPr>
          <w:sz w:val="21"/>
        </w:rPr>
        <w:t>) y destino del proxy de desarrollo (</w:t>
      </w:r>
      <w:r>
        <w:rPr>
          <w:rFonts w:ascii="Consolas" w:hAnsi="Consolas"/>
          <w:sz w:val="20"/>
        </w:rPr>
        <w:t>SAAD_API_URL</w:t>
      </w:r>
      <w:r>
        <w:rPr>
          <w:sz w:val="21"/>
        </w:rPr>
        <w:t>).</w:t>
      </w:r>
    </w:p>
    <w:p>
      <w:pPr>
        <w:pStyle w:val="ListBullet"/>
        <w:spacing w:after="60"/>
      </w:pPr>
      <w:r>
        <w:rPr>
          <w:sz w:val="21"/>
        </w:rPr>
        <w:t>El trabajo se integra en la rama principal de GitHub y se gestiona en GitHub Projects (RT-05).</w:t>
      </w:r>
    </w:p>
    <w:p>
      <w:pPr>
        <w:pStyle w:val="Heading1"/>
      </w:pPr>
      <w:r>
        <w:t>8. Vista de despliegue</w:t>
      </w:r>
    </w:p>
    <w:p>
      <w:pPr>
        <w:jc w:val="both"/>
      </w:pPr>
      <w:r>
        <w:rPr>
          <w:sz w:val="21"/>
        </w:rPr>
        <w:t>A la fecha de emisión el sistema se ejecuta en modo de desarrollo local. El despliegue empaquetado que exigen los requisitos está planificado y se muestra a la derecha de la figura para dejar clara la distancia entre ambos.</w:t>
      </w:r>
    </w:p>
    <w:p>
      <w:pPr>
        <w:keepNext/>
        <w:spacing w:before="120" w:after="80"/>
        <w:jc w:val="center"/>
      </w:pPr>
      <w:r>
        <w:drawing>
          <wp:inline xmlns:a="http://schemas.openxmlformats.org/drawingml/2006/main" xmlns:pic="http://schemas.openxmlformats.org/drawingml/2006/picture">
            <wp:extent cx="6048000" cy="4796225"/>
            <wp:docPr id="7" name="Picture 7"/>
            <wp:cNvGraphicFramePr>
              <a:graphicFrameLocks noChangeAspect="1"/>
            </wp:cNvGraphicFramePr>
            <a:graphic>
              <a:graphicData uri="http://schemas.openxmlformats.org/drawingml/2006/picture">
                <pic:pic>
                  <pic:nvPicPr>
                    <pic:cNvPr id="0" name="arquitectura_despliegue.png"/>
                    <pic:cNvPicPr/>
                  </pic:nvPicPr>
                  <pic:blipFill>
                    <a:blip r:embed="rId16"/>
                    <a:stretch>
                      <a:fillRect/>
                    </a:stretch>
                  </pic:blipFill>
                  <pic:spPr>
                    <a:xfrm>
                      <a:off x="0" y="0"/>
                      <a:ext cx="6048000" cy="4796225"/>
                    </a:xfrm>
                    <a:prstGeom prst="rect"/>
                  </pic:spPr>
                </pic:pic>
              </a:graphicData>
            </a:graphic>
          </wp:inline>
        </w:drawing>
      </w:r>
    </w:p>
    <w:p>
      <w:pPr>
        <w:spacing w:after="200"/>
        <w:jc w:val="center"/>
      </w:pPr>
      <w:r>
        <w:rPr>
          <w:b/>
          <w:color w:val="5E7685"/>
          <w:sz w:val="18"/>
        </w:rPr>
        <w:t>Figura 5.</w:t>
      </w:r>
      <w:r>
        <w:rPr>
          <w:color w:val="5E7685"/>
          <w:sz w:val="18"/>
        </w:rPr>
        <w:t xml:space="preserve"> Despliegue vigente (izquierda) y objetivo (derecha). El diagrama UML de despliegue formal es una tarea abierta del equipo (D2-21).</w:t>
      </w:r>
    </w:p>
    <w:p>
      <w:pPr>
        <w:pStyle w:val="Heading2"/>
      </w:pPr>
      <w:r>
        <w:t>8.1 Despliegue vigente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211"/>
            <w:shd w:val="clear" w:color="auto" w:fill="0B4660"/>
          </w:tcPr>
          <w:p>
            <w:pPr>
              <w:keepNext/>
              <w:spacing w:before="40" w:after="40"/>
            </w:pPr>
            <w:r>
              <w:rPr>
                <w:b/>
                <w:color w:val="FFFFFF"/>
                <w:sz w:val="18"/>
              </w:rPr>
              <w:t>Nodo o proceso</w:t>
            </w:r>
          </w:p>
        </w:tc>
        <w:tc>
          <w:tcPr>
            <w:tcW w:type="dxa" w:w="4309"/>
            <w:shd w:val="clear" w:color="auto" w:fill="0B4660"/>
          </w:tcPr>
          <w:p>
            <w:pPr>
              <w:keepNext/>
              <w:spacing w:before="40" w:after="40"/>
            </w:pPr>
            <w:r>
              <w:rPr>
                <w:b/>
                <w:color w:val="FFFFFF"/>
                <w:sz w:val="18"/>
              </w:rPr>
              <w:t>Qué ejecuta</w:t>
            </w:r>
          </w:p>
        </w:tc>
        <w:tc>
          <w:tcPr>
            <w:tcW w:type="dxa" w:w="3515"/>
            <w:shd w:val="clear" w:color="auto" w:fill="0B4660"/>
          </w:tcPr>
          <w:p>
            <w:pPr>
              <w:keepNext/>
              <w:spacing w:before="40" w:after="40"/>
            </w:pPr>
            <w:r>
              <w:rPr>
                <w:b/>
                <w:color w:val="FFFFFF"/>
                <w:sz w:val="18"/>
              </w:rPr>
              <w:t>Cómo se inicia</w:t>
            </w:r>
          </w:p>
        </w:tc>
      </w:tr>
      <w:tr>
        <w:trPr>
          <w:cantSplit w:val="true"/>
        </w:trPr>
        <w:tc>
          <w:tcPr>
            <w:tcW w:type="dxa" w:w="2211"/>
          </w:tcPr>
          <w:p>
            <w:pPr>
              <w:spacing w:before="40" w:after="40"/>
            </w:pPr>
            <w:r>
              <w:rPr>
                <w:b/>
                <w:sz w:val="18"/>
              </w:rPr>
              <w:t>Servidor de la API</w:t>
            </w:r>
          </w:p>
        </w:tc>
        <w:tc>
          <w:tcPr>
            <w:tcW w:type="dxa" w:w="4309"/>
          </w:tcPr>
          <w:p>
            <w:pPr>
              <w:spacing w:before="40" w:after="40"/>
            </w:pPr>
            <w:r>
              <w:rPr>
                <w:sz w:val="18"/>
              </w:rPr>
              <w:t>Uvicorn con la aplicación FastAPI, puerto 8000.</w:t>
            </w:r>
          </w:p>
        </w:tc>
        <w:tc>
          <w:tcPr>
            <w:tcW w:type="dxa" w:w="3515"/>
          </w:tcPr>
          <w:p>
            <w:pPr>
              <w:spacing w:before="40" w:after="40"/>
            </w:pPr>
            <w:r>
              <w:rPr>
                <w:rFonts w:ascii="Consolas" w:hAnsi="Consolas"/>
                <w:sz w:val="18"/>
              </w:rPr>
              <w:t>uvicorn src.api.main:app --port 8000</w:t>
            </w:r>
          </w:p>
        </w:tc>
      </w:tr>
      <w:tr>
        <w:trPr>
          <w:cantSplit w:val="true"/>
        </w:trPr>
        <w:tc>
          <w:tcPr>
            <w:tcW w:type="dxa" w:w="2211"/>
            <w:shd w:val="clear" w:color="auto" w:fill="EEF3F6"/>
          </w:tcPr>
          <w:p>
            <w:pPr>
              <w:spacing w:before="40" w:after="40"/>
            </w:pPr>
            <w:r>
              <w:rPr>
                <w:b/>
                <w:sz w:val="18"/>
              </w:rPr>
              <w:t>Servidor de desarrollo</w:t>
            </w:r>
          </w:p>
        </w:tc>
        <w:tc>
          <w:tcPr>
            <w:tcW w:type="dxa" w:w="4309"/>
            <w:shd w:val="clear" w:color="auto" w:fill="EEF3F6"/>
          </w:tcPr>
          <w:p>
            <w:pPr>
              <w:spacing w:before="40" w:after="40"/>
            </w:pPr>
            <w:r>
              <w:rPr>
                <w:sz w:val="18"/>
              </w:rPr>
              <w:t xml:space="preserve">Vite: sirve la aplicación y reenvía </w:t>
            </w:r>
            <w:r>
              <w:rPr>
                <w:rFonts w:ascii="Consolas" w:hAnsi="Consolas"/>
                <w:sz w:val="18"/>
              </w:rPr>
              <w:t>/api</w:t>
            </w:r>
            <w:r>
              <w:rPr>
                <w:sz w:val="18"/>
              </w:rPr>
              <w:t xml:space="preserve"> al backend, puerto 5173.</w:t>
            </w:r>
          </w:p>
        </w:tc>
        <w:tc>
          <w:tcPr>
            <w:tcW w:type="dxa" w:w="3515"/>
            <w:shd w:val="clear" w:color="auto" w:fill="EEF3F6"/>
          </w:tcPr>
          <w:p>
            <w:pPr>
              <w:spacing w:before="40" w:after="40"/>
            </w:pPr>
            <w:r>
              <w:rPr>
                <w:rFonts w:ascii="Consolas" w:hAnsi="Consolas"/>
                <w:sz w:val="18"/>
              </w:rPr>
              <w:t>npm run dev</w:t>
            </w:r>
            <w:r>
              <w:rPr>
                <w:sz w:val="18"/>
              </w:rPr>
              <w:t xml:space="preserve"> en </w:t>
            </w:r>
            <w:r>
              <w:rPr>
                <w:rFonts w:ascii="Consolas" w:hAnsi="Consolas"/>
                <w:sz w:val="18"/>
              </w:rPr>
              <w:t>frontend/</w:t>
            </w:r>
          </w:p>
        </w:tc>
      </w:tr>
      <w:tr>
        <w:trPr>
          <w:cantSplit w:val="true"/>
        </w:trPr>
        <w:tc>
          <w:tcPr>
            <w:tcW w:type="dxa" w:w="2211"/>
          </w:tcPr>
          <w:p>
            <w:pPr>
              <w:spacing w:before="40" w:after="40"/>
            </w:pPr>
            <w:r>
              <w:rPr>
                <w:b/>
                <w:sz w:val="18"/>
              </w:rPr>
              <w:t>Pipeline</w:t>
            </w:r>
          </w:p>
        </w:tc>
        <w:tc>
          <w:tcPr>
            <w:tcW w:type="dxa" w:w="4309"/>
          </w:tcPr>
          <w:p>
            <w:pPr>
              <w:spacing w:before="40" w:after="40"/>
            </w:pPr>
            <w:r>
              <w:rPr>
                <w:sz w:val="18"/>
              </w:rPr>
              <w:t>Proceso por lotes bajo demanda del equipo.</w:t>
            </w:r>
          </w:p>
        </w:tc>
        <w:tc>
          <w:tcPr>
            <w:tcW w:type="dxa" w:w="3515"/>
          </w:tcPr>
          <w:p>
            <w:pPr>
              <w:spacing w:before="40" w:after="40"/>
            </w:pPr>
            <w:r>
              <w:rPr>
                <w:rFonts w:ascii="Consolas" w:hAnsi="Consolas"/>
                <w:sz w:val="18"/>
              </w:rPr>
              <w:t>python scripts/run_pipeline.py</w:t>
            </w:r>
          </w:p>
        </w:tc>
      </w:tr>
      <w:tr>
        <w:trPr>
          <w:cantSplit w:val="true"/>
        </w:trPr>
        <w:tc>
          <w:tcPr>
            <w:tcW w:type="dxa" w:w="2211"/>
            <w:shd w:val="clear" w:color="auto" w:fill="EEF3F6"/>
          </w:tcPr>
          <w:p>
            <w:pPr>
              <w:spacing w:before="40" w:after="40"/>
            </w:pPr>
            <w:r>
              <w:rPr>
                <w:b/>
                <w:sz w:val="18"/>
              </w:rPr>
              <w:t>Almacenamiento</w:t>
            </w:r>
          </w:p>
        </w:tc>
        <w:tc>
          <w:tcPr>
            <w:tcW w:type="dxa" w:w="4309"/>
            <w:shd w:val="clear" w:color="auto" w:fill="EEF3F6"/>
          </w:tcPr>
          <w:p>
            <w:pPr>
              <w:spacing w:before="40" w:after="40"/>
            </w:pPr>
            <w:r>
              <w:rPr>
                <w:sz w:val="18"/>
              </w:rPr>
              <w:t xml:space="preserve">Sistema de archivos local: </w:t>
            </w:r>
            <w:r>
              <w:rPr>
                <w:rFonts w:ascii="Consolas" w:hAnsi="Consolas"/>
                <w:sz w:val="18"/>
              </w:rPr>
              <w:t>data/</w:t>
            </w:r>
            <w:r>
              <w:rPr>
                <w:sz w:val="18"/>
              </w:rPr>
              <w:t xml:space="preserve"> y </w:t>
            </w:r>
            <w:r>
              <w:rPr>
                <w:rFonts w:ascii="Consolas" w:hAnsi="Consolas"/>
                <w:sz w:val="18"/>
              </w:rPr>
              <w:t>reports/</w:t>
            </w:r>
            <w:r>
              <w:rPr>
                <w:sz w:val="18"/>
              </w:rPr>
              <w:t>.</w:t>
            </w:r>
          </w:p>
        </w:tc>
        <w:tc>
          <w:tcPr>
            <w:tcW w:type="dxa" w:w="3515"/>
            <w:shd w:val="clear" w:color="auto" w:fill="EEF3F6"/>
          </w:tcPr>
          <w:p>
            <w:pPr>
              <w:spacing w:before="40" w:after="40"/>
            </w:pPr>
            <w:r>
              <w:rPr>
                <w:sz w:val="18"/>
              </w:rPr>
              <w:t>No requiere servicio.</w:t>
            </w:r>
          </w:p>
        </w:tc>
      </w:tr>
    </w:tbl>
    <w:p>
      <w:pPr>
        <w:spacing w:after="80"/>
      </w:pPr>
    </w:p>
    <w:p>
      <w:pPr>
        <w:jc w:val="both"/>
      </w:pPr>
      <w:r>
        <w:rPr>
          <w:sz w:val="21"/>
        </w:rPr>
        <w:t>En desarrollo el navegador ve un solo origen, porque el servidor de Vite reenvía las llamadas a la API; por eso no se requiere configuración de CORS para trabajar localmente.</w:t>
      </w:r>
    </w:p>
    <w:p>
      <w:pPr>
        <w:pStyle w:val="Heading2"/>
      </w:pPr>
      <w:r>
        <w:t>8.2 Despliegue objetivo</w:t>
      </w:r>
    </w:p>
    <w:p>
      <w:pPr>
        <w:jc w:val="both"/>
      </w:pPr>
      <w:r>
        <w:rPr>
          <w:sz w:val="21"/>
        </w:rPr>
        <w:t xml:space="preserve">El objetivo declarado en RT-04 es un empaquetado con Docker Compose: un contenedor que sirva los archivos estáticos de la aplicación y actúe como proxy inverso, uno para la API y uno para PostgreSQL con PostGIS, más el pipeline como tarea por lotes sobre un volumen de datos. </w:t>
      </w:r>
      <w:r>
        <w:rPr>
          <w:b/>
          <w:sz w:val="21"/>
        </w:rPr>
        <w:t>Nada de esto existe todavía en el repositorio</w:t>
      </w:r>
      <w:r>
        <w:rPr>
          <w:sz w:val="21"/>
        </w:rPr>
        <w:t>: no hay archivos de contenedor ni de composición. La arquitectura vigente lo facilita, porque la API y la aplicación ya son procesos separados que se comunican por HTTP y no comparten estado.</w:t>
      </w:r>
    </w:p>
    <w:p>
      <w:pPr>
        <w:pStyle w:val="Heading1"/>
      </w:pPr>
      <w:r>
        <w:t>9. Integraciones, servicios y API</w:t>
      </w:r>
    </w:p>
    <w:p>
      <w:pPr>
        <w:pStyle w:val="Heading2"/>
      </w:pPr>
      <w:r>
        <w:t>9.1 Fuentes externas</w:t>
      </w:r>
    </w:p>
    <w:p>
      <w:pPr>
        <w:jc w:val="both"/>
      </w:pPr>
      <w:r>
        <w:rPr>
          <w:sz w:val="21"/>
        </w:rPr>
        <w:t>Todas las integraciones con fuentes de datos son descargas por lotes sobre HTTPS, iniciadas por el pipeline. Ninguna es una llamada en línea durante una consulta.</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2494"/>
            <w:shd w:val="clear" w:color="auto" w:fill="0B4660"/>
          </w:tcPr>
          <w:p>
            <w:pPr>
              <w:keepNext/>
              <w:spacing w:before="40" w:after="40"/>
            </w:pPr>
            <w:r>
              <w:rPr>
                <w:b/>
                <w:color w:val="FFFFFF"/>
                <w:sz w:val="17"/>
              </w:rPr>
              <w:t>Fuente</w:t>
            </w:r>
          </w:p>
        </w:tc>
        <w:tc>
          <w:tcPr>
            <w:tcW w:type="dxa" w:w="3628"/>
            <w:shd w:val="clear" w:color="auto" w:fill="0B4660"/>
          </w:tcPr>
          <w:p>
            <w:pPr>
              <w:keepNext/>
              <w:spacing w:before="40" w:after="40"/>
            </w:pPr>
            <w:r>
              <w:rPr>
                <w:b/>
                <w:color w:val="FFFFFF"/>
                <w:sz w:val="17"/>
              </w:rPr>
              <w:t>Qué aporta</w:t>
            </w:r>
          </w:p>
        </w:tc>
        <w:tc>
          <w:tcPr>
            <w:tcW w:type="dxa" w:w="1701"/>
            <w:shd w:val="clear" w:color="auto" w:fill="0B4660"/>
          </w:tcPr>
          <w:p>
            <w:pPr>
              <w:keepNext/>
              <w:spacing w:before="40" w:after="40"/>
            </w:pPr>
            <w:r>
              <w:rPr>
                <w:b/>
                <w:color w:val="FFFFFF"/>
                <w:sz w:val="17"/>
              </w:rPr>
              <w:t>Formato</w:t>
            </w:r>
          </w:p>
        </w:tc>
        <w:tc>
          <w:tcPr>
            <w:tcW w:type="dxa" w:w="2211"/>
            <w:shd w:val="clear" w:color="auto" w:fill="0B4660"/>
          </w:tcPr>
          <w:p>
            <w:pPr>
              <w:keepNext/>
              <w:spacing w:before="40" w:after="40"/>
            </w:pPr>
            <w:r>
              <w:rPr>
                <w:b/>
                <w:color w:val="FFFFFF"/>
                <w:sz w:val="17"/>
              </w:rPr>
              <w:t>Frecuencia de cambio</w:t>
            </w:r>
          </w:p>
        </w:tc>
      </w:tr>
      <w:tr>
        <w:trPr>
          <w:cantSplit w:val="true"/>
        </w:trPr>
        <w:tc>
          <w:tcPr>
            <w:tcW w:type="dxa" w:w="2494"/>
          </w:tcPr>
          <w:p>
            <w:pPr>
              <w:spacing w:before="40" w:after="40"/>
            </w:pPr>
            <w:r>
              <w:rPr>
                <w:b/>
                <w:sz w:val="17"/>
              </w:rPr>
              <w:t>DEIS / MINSAL — Atenciones de Urgencia</w:t>
            </w:r>
          </w:p>
        </w:tc>
        <w:tc>
          <w:tcPr>
            <w:tcW w:type="dxa" w:w="3628"/>
          </w:tcPr>
          <w:p>
            <w:pPr>
              <w:spacing w:before="40" w:after="40"/>
            </w:pPr>
            <w:r>
              <w:rPr>
                <w:sz w:val="17"/>
              </w:rPr>
              <w:t>Atenciones por causa, establecimiento, día y grupo etario, 2020 en adelante.</w:t>
            </w:r>
          </w:p>
        </w:tc>
        <w:tc>
          <w:tcPr>
            <w:tcW w:type="dxa" w:w="1701"/>
          </w:tcPr>
          <w:p>
            <w:pPr>
              <w:spacing w:before="40" w:after="40"/>
            </w:pPr>
            <w:r>
              <w:rPr>
                <w:sz w:val="17"/>
              </w:rPr>
              <w:t>ZIP con CSV anual</w:t>
            </w:r>
          </w:p>
        </w:tc>
        <w:tc>
          <w:tcPr>
            <w:tcW w:type="dxa" w:w="2211"/>
          </w:tcPr>
          <w:p>
            <w:pPr>
              <w:spacing w:before="40" w:after="40"/>
            </w:pPr>
            <w:r>
              <w:rPr>
                <w:sz w:val="17"/>
              </w:rPr>
              <w:t>El año en curso se sobrescribe periódicamente; los años cerrados no.</w:t>
            </w:r>
          </w:p>
        </w:tc>
      </w:tr>
      <w:tr>
        <w:trPr>
          <w:cantSplit w:val="true"/>
        </w:trPr>
        <w:tc>
          <w:tcPr>
            <w:tcW w:type="dxa" w:w="2494"/>
            <w:shd w:val="clear" w:color="auto" w:fill="EEF3F6"/>
          </w:tcPr>
          <w:p>
            <w:pPr>
              <w:spacing w:before="40" w:after="40"/>
            </w:pPr>
            <w:r>
              <w:rPr>
                <w:b/>
                <w:sz w:val="17"/>
              </w:rPr>
              <w:t>DEIS / MINSAL — Egresos Hospitalarios</w:t>
            </w:r>
          </w:p>
        </w:tc>
        <w:tc>
          <w:tcPr>
            <w:tcW w:type="dxa" w:w="3628"/>
            <w:shd w:val="clear" w:color="auto" w:fill="EEF3F6"/>
          </w:tcPr>
          <w:p>
            <w:pPr>
              <w:spacing w:before="40" w:after="40"/>
            </w:pPr>
            <w:r>
              <w:rPr>
                <w:sz w:val="17"/>
              </w:rPr>
              <w:t>Egresos disociados 2020–2025, con diagnóstico, previsión y días de estadía.</w:t>
            </w:r>
          </w:p>
        </w:tc>
        <w:tc>
          <w:tcPr>
            <w:tcW w:type="dxa" w:w="1701"/>
            <w:shd w:val="clear" w:color="auto" w:fill="EEF3F6"/>
          </w:tcPr>
          <w:p>
            <w:pPr>
              <w:spacing w:before="40" w:after="40"/>
            </w:pPr>
            <w:r>
              <w:rPr>
                <w:sz w:val="17"/>
              </w:rPr>
              <w:t>ZIP con CSV anual</w:t>
            </w:r>
          </w:p>
        </w:tc>
        <w:tc>
          <w:tcPr>
            <w:tcW w:type="dxa" w:w="2211"/>
            <w:shd w:val="clear" w:color="auto" w:fill="EEF3F6"/>
          </w:tcPr>
          <w:p>
            <w:pPr>
              <w:spacing w:before="40" w:after="40"/>
            </w:pPr>
            <w:r>
              <w:rPr>
                <w:sz w:val="17"/>
              </w:rPr>
              <w:t>Anual.</w:t>
            </w:r>
          </w:p>
        </w:tc>
      </w:tr>
      <w:tr>
        <w:trPr>
          <w:cantSplit w:val="true"/>
        </w:trPr>
        <w:tc>
          <w:tcPr>
            <w:tcW w:type="dxa" w:w="2494"/>
          </w:tcPr>
          <w:p>
            <w:pPr>
              <w:spacing w:before="40" w:after="40"/>
            </w:pPr>
            <w:r>
              <w:rPr>
                <w:b/>
                <w:sz w:val="17"/>
              </w:rPr>
              <w:t>DEIS / MINSAL — Maestro de establecimientos</w:t>
            </w:r>
          </w:p>
        </w:tc>
        <w:tc>
          <w:tcPr>
            <w:tcW w:type="dxa" w:w="3628"/>
          </w:tcPr>
          <w:p>
            <w:pPr>
              <w:spacing w:before="40" w:after="40"/>
            </w:pPr>
            <w:r>
              <w:rPr>
                <w:sz w:val="17"/>
              </w:rPr>
              <w:t>Catálogo de establecimientos, tipo, Servicio de Salud y coordenadas.</w:t>
            </w:r>
          </w:p>
        </w:tc>
        <w:tc>
          <w:tcPr>
            <w:tcW w:type="dxa" w:w="1701"/>
          </w:tcPr>
          <w:p>
            <w:pPr>
              <w:spacing w:before="40" w:after="40"/>
            </w:pPr>
            <w:r>
              <w:rPr>
                <w:sz w:val="17"/>
              </w:rPr>
              <w:t>Planilla</w:t>
            </w:r>
          </w:p>
        </w:tc>
        <w:tc>
          <w:tcPr>
            <w:tcW w:type="dxa" w:w="2211"/>
          </w:tcPr>
          <w:p>
            <w:pPr>
              <w:spacing w:before="40" w:after="40"/>
            </w:pPr>
            <w:r>
              <w:rPr>
                <w:sz w:val="17"/>
              </w:rPr>
              <w:t>Se publica actualizado, sin versión.</w:t>
            </w:r>
          </w:p>
        </w:tc>
      </w:tr>
      <w:tr>
        <w:trPr>
          <w:cantSplit w:val="true"/>
        </w:trPr>
        <w:tc>
          <w:tcPr>
            <w:tcW w:type="dxa" w:w="2494"/>
            <w:shd w:val="clear" w:color="auto" w:fill="EEF3F6"/>
          </w:tcPr>
          <w:p>
            <w:pPr>
              <w:spacing w:before="40" w:after="40"/>
            </w:pPr>
            <w:r>
              <w:rPr>
                <w:b/>
                <w:sz w:val="17"/>
              </w:rPr>
              <w:t>INE — Censo 2024</w:t>
            </w:r>
          </w:p>
        </w:tc>
        <w:tc>
          <w:tcPr>
            <w:tcW w:type="dxa" w:w="3628"/>
            <w:shd w:val="clear" w:color="auto" w:fill="EEF3F6"/>
          </w:tcPr>
          <w:p>
            <w:pPr>
              <w:spacing w:before="40" w:after="40"/>
            </w:pPr>
            <w:r>
              <w:rPr>
                <w:sz w:val="17"/>
              </w:rPr>
              <w:t>Cartografía comunal y subcomunal, y población censada.</w:t>
            </w:r>
          </w:p>
        </w:tc>
        <w:tc>
          <w:tcPr>
            <w:tcW w:type="dxa" w:w="1701"/>
            <w:shd w:val="clear" w:color="auto" w:fill="EEF3F6"/>
          </w:tcPr>
          <w:p>
            <w:pPr>
              <w:spacing w:before="40" w:after="40"/>
            </w:pPr>
            <w:r>
              <w:rPr>
                <w:sz w:val="17"/>
              </w:rPr>
              <w:t>GeoParquet y planilla</w:t>
            </w:r>
          </w:p>
        </w:tc>
        <w:tc>
          <w:tcPr>
            <w:tcW w:type="dxa" w:w="2211"/>
            <w:shd w:val="clear" w:color="auto" w:fill="EEF3F6"/>
          </w:tcPr>
          <w:p>
            <w:pPr>
              <w:spacing w:before="40" w:after="40"/>
            </w:pPr>
            <w:r>
              <w:rPr>
                <w:sz w:val="17"/>
              </w:rPr>
              <w:t>Cerrado.</w:t>
            </w:r>
          </w:p>
        </w:tc>
      </w:tr>
      <w:tr>
        <w:trPr>
          <w:cantSplit w:val="true"/>
        </w:trPr>
        <w:tc>
          <w:tcPr>
            <w:tcW w:type="dxa" w:w="2494"/>
          </w:tcPr>
          <w:p>
            <w:pPr>
              <w:spacing w:before="40" w:after="40"/>
            </w:pPr>
            <w:r>
              <w:rPr>
                <w:b/>
                <w:sz w:val="17"/>
              </w:rPr>
              <w:t>INE — Proyecciones de población</w:t>
            </w:r>
          </w:p>
        </w:tc>
        <w:tc>
          <w:tcPr>
            <w:tcW w:type="dxa" w:w="3628"/>
          </w:tcPr>
          <w:p>
            <w:pPr>
              <w:spacing w:before="40" w:after="40"/>
            </w:pPr>
            <w:r>
              <w:rPr>
                <w:sz w:val="17"/>
              </w:rPr>
              <w:t>Población comunal anual estimada y proyectada, base Censo 2017.</w:t>
            </w:r>
          </w:p>
        </w:tc>
        <w:tc>
          <w:tcPr>
            <w:tcW w:type="dxa" w:w="1701"/>
          </w:tcPr>
          <w:p>
            <w:pPr>
              <w:spacing w:before="40" w:after="40"/>
            </w:pPr>
            <w:r>
              <w:rPr>
                <w:sz w:val="17"/>
              </w:rPr>
              <w:t>Planilla</w:t>
            </w:r>
          </w:p>
        </w:tc>
        <w:tc>
          <w:tcPr>
            <w:tcW w:type="dxa" w:w="2211"/>
          </w:tcPr>
          <w:p>
            <w:pPr>
              <w:spacing w:before="40" w:after="40"/>
            </w:pPr>
            <w:r>
              <w:rPr>
                <w:sz w:val="17"/>
              </w:rPr>
              <w:t>Cerrado.</w:t>
            </w:r>
          </w:p>
        </w:tc>
      </w:tr>
      <w:tr>
        <w:trPr>
          <w:cantSplit w:val="true"/>
        </w:trPr>
        <w:tc>
          <w:tcPr>
            <w:tcW w:type="dxa" w:w="2494"/>
            <w:shd w:val="clear" w:color="auto" w:fill="EEF3F6"/>
          </w:tcPr>
          <w:p>
            <w:pPr>
              <w:spacing w:before="40" w:after="40"/>
            </w:pPr>
            <w:r>
              <w:rPr>
                <w:b/>
                <w:sz w:val="17"/>
              </w:rPr>
              <w:t>MDS — Casen 2022</w:t>
            </w:r>
          </w:p>
        </w:tc>
        <w:tc>
          <w:tcPr>
            <w:tcW w:type="dxa" w:w="3628"/>
            <w:shd w:val="clear" w:color="auto" w:fill="EEF3F6"/>
          </w:tcPr>
          <w:p>
            <w:pPr>
              <w:spacing w:before="40" w:after="40"/>
            </w:pPr>
            <w:r>
              <w:rPr>
                <w:sz w:val="17"/>
              </w:rPr>
              <w:t>Tasa de pobreza por ingresos comunal, como indicador de vulnerabilidad.</w:t>
            </w:r>
          </w:p>
        </w:tc>
        <w:tc>
          <w:tcPr>
            <w:tcW w:type="dxa" w:w="1701"/>
            <w:shd w:val="clear" w:color="auto" w:fill="EEF3F6"/>
          </w:tcPr>
          <w:p>
            <w:pPr>
              <w:spacing w:before="40" w:after="40"/>
            </w:pPr>
            <w:r>
              <w:rPr>
                <w:sz w:val="17"/>
              </w:rPr>
              <w:t>Planilla</w:t>
            </w:r>
          </w:p>
        </w:tc>
        <w:tc>
          <w:tcPr>
            <w:tcW w:type="dxa" w:w="2211"/>
            <w:shd w:val="clear" w:color="auto" w:fill="EEF3F6"/>
          </w:tcPr>
          <w:p>
            <w:pPr>
              <w:spacing w:before="40" w:after="40"/>
            </w:pPr>
            <w:r>
              <w:rPr>
                <w:sz w:val="17"/>
              </w:rPr>
              <w:t>Cerrado.</w:t>
            </w:r>
          </w:p>
        </w:tc>
      </w:tr>
      <w:tr>
        <w:trPr>
          <w:cantSplit w:val="true"/>
        </w:trPr>
        <w:tc>
          <w:tcPr>
            <w:tcW w:type="dxa" w:w="2494"/>
          </w:tcPr>
          <w:p>
            <w:pPr>
              <w:spacing w:before="40" w:after="40"/>
            </w:pPr>
            <w:r>
              <w:rPr>
                <w:b/>
                <w:sz w:val="17"/>
              </w:rPr>
              <w:t>Estadísticas de Género</w:t>
            </w:r>
          </w:p>
        </w:tc>
        <w:tc>
          <w:tcPr>
            <w:tcW w:type="dxa" w:w="3628"/>
          </w:tcPr>
          <w:p>
            <w:pPr>
              <w:spacing w:before="40" w:after="40"/>
            </w:pPr>
            <w:r>
              <w:rPr>
                <w:sz w:val="17"/>
              </w:rPr>
              <w:t>Cuatro indicadores de salud mental por sexo, usados solo como contexto interpretativo.</w:t>
            </w:r>
          </w:p>
        </w:tc>
        <w:tc>
          <w:tcPr>
            <w:tcW w:type="dxa" w:w="1701"/>
          </w:tcPr>
          <w:p>
            <w:pPr>
              <w:spacing w:before="40" w:after="40"/>
            </w:pPr>
            <w:r>
              <w:rPr>
                <w:sz w:val="17"/>
              </w:rPr>
              <w:t>Planillas</w:t>
            </w:r>
          </w:p>
        </w:tc>
        <w:tc>
          <w:tcPr>
            <w:tcW w:type="dxa" w:w="2211"/>
          </w:tcPr>
          <w:p>
            <w:pPr>
              <w:spacing w:before="40" w:after="40"/>
            </w:pPr>
            <w:r>
              <w:rPr>
                <w:sz w:val="17"/>
              </w:rPr>
              <w:t>Cerrado.</w:t>
            </w:r>
          </w:p>
        </w:tc>
      </w:tr>
      <w:tr>
        <w:trPr>
          <w:cantSplit w:val="true"/>
        </w:trPr>
        <w:tc>
          <w:tcPr>
            <w:tcW w:type="dxa" w:w="2494"/>
            <w:shd w:val="clear" w:color="auto" w:fill="EEF3F6"/>
          </w:tcPr>
          <w:p>
            <w:pPr>
              <w:spacing w:before="40" w:after="40"/>
            </w:pPr>
            <w:r>
              <w:rPr>
                <w:b/>
                <w:sz w:val="17"/>
              </w:rPr>
              <w:t>OpenStreetMap y GTFS</w:t>
            </w:r>
          </w:p>
        </w:tc>
        <w:tc>
          <w:tcPr>
            <w:tcW w:type="dxa" w:w="3628"/>
            <w:shd w:val="clear" w:color="auto" w:fill="EEF3F6"/>
          </w:tcPr>
          <w:p>
            <w:pPr>
              <w:spacing w:before="40" w:after="40"/>
            </w:pPr>
            <w:r>
              <w:rPr>
                <w:sz w:val="17"/>
              </w:rPr>
              <w:t>Red vial y transporte público para accesibilidad.</w:t>
            </w:r>
          </w:p>
        </w:tc>
        <w:tc>
          <w:tcPr>
            <w:tcW w:type="dxa" w:w="1701"/>
            <w:shd w:val="clear" w:color="auto" w:fill="EEF3F6"/>
          </w:tcPr>
          <w:p>
            <w:pPr>
              <w:spacing w:before="40" w:after="40"/>
            </w:pPr>
            <w:r>
              <w:rPr>
                <w:sz w:val="17"/>
              </w:rPr>
              <w:t>Por definir</w:t>
            </w:r>
          </w:p>
        </w:tc>
        <w:tc>
          <w:tcPr>
            <w:tcW w:type="dxa" w:w="2211"/>
            <w:shd w:val="clear" w:color="auto" w:fill="EEF3F6"/>
          </w:tcPr>
          <w:p>
            <w:pPr>
              <w:spacing w:before="40" w:after="40"/>
            </w:pPr>
            <w:r>
              <w:rPr>
                <w:sz w:val="17"/>
              </w:rPr>
              <w:t>Planificado.</w:t>
            </w:r>
          </w:p>
        </w:tc>
      </w:tr>
    </w:tbl>
    <w:p>
      <w:pPr>
        <w:spacing w:after="80"/>
      </w:pPr>
    </w:p>
    <w:tbl>
      <w:tblPr>
        <w:tblStyle w:val="TableGrid"/>
        <w:tblW w:type="auto" w:w="0"/>
        <w:tblLook w:firstColumn="1" w:firstRow="1" w:lastColumn="0" w:lastRow="0" w:noHBand="0" w:noVBand="1" w:val="04A0"/>
      </w:tblPr>
      <w:tblGrid>
        <w:gridCol w:w="10086"/>
      </w:tblGrid>
      <w:tr>
        <w:tc>
          <w:tcPr>
            <w:tcW w:type="dxa" w:w="10086"/>
            <w:shd w:val="clear" w:color="auto" w:fill="FCF1DC"/>
          </w:tcPr>
          <w:p>
            <w:pPr>
              <w:spacing w:before="80" w:after="80"/>
            </w:pPr>
            <w:r>
              <w:rPr>
                <w:b/>
                <w:sz w:val="20"/>
              </w:rPr>
              <w:t>Tolerancia a fallos de las fuentes.</w:t>
            </w:r>
            <w:r>
              <w:rPr>
                <w:sz w:val="20"/>
              </w:rPr>
              <w:t xml:space="preserve"> Si una descarga o su validación falla, el RAW previo se conserva y el comando termina con error; el sistema nunca reemplaza un snapshot válido por uno defectuoso (RNF-FIA-005).</w:t>
            </w:r>
          </w:p>
        </w:tc>
      </w:tr>
    </w:tbl>
    <w:p>
      <w:pPr>
        <w:spacing w:after="40"/>
      </w:pPr>
    </w:p>
    <w:p>
      <w:pPr>
        <w:pStyle w:val="Heading2"/>
      </w:pPr>
      <w:r>
        <w:t>9.2 Servicio externo en la interfaz</w:t>
      </w:r>
    </w:p>
    <w:p>
      <w:pPr>
        <w:jc w:val="both"/>
      </w:pPr>
      <w:r>
        <w:rPr>
          <w:sz w:val="21"/>
        </w:rPr>
        <w:t xml:space="preserve">El mapa puede mostrar un mapa base de </w:t>
      </w:r>
      <w:r>
        <w:rPr>
          <w:b/>
          <w:sz w:val="21"/>
        </w:rPr>
        <w:t>CARTO Basemaps</w:t>
      </w:r>
      <w:r>
        <w:rPr>
          <w:sz w:val="21"/>
        </w:rPr>
        <w:t>, que el navegador solicita directamente por HTTPS. Es opcional: sin clave (</w:t>
      </w:r>
      <w:r>
        <w:rPr>
          <w:rFonts w:ascii="Consolas" w:hAnsi="Consolas"/>
          <w:sz w:val="20"/>
        </w:rPr>
        <w:t>VITE_CARTO_API_KEY</w:t>
      </w:r>
      <w:r>
        <w:rPr>
          <w:sz w:val="21"/>
        </w:rPr>
        <w:t>), el mapa se dibuja solo con los límites comunales. La atribución a OpenStreetMap y CARTO se muestra siempre que el mapa base está activo, como exige su licencia de uso.</w:t>
      </w:r>
    </w:p>
    <w:p>
      <w:pPr>
        <w:pStyle w:val="Heading2"/>
      </w:pPr>
      <w:r>
        <w:t>9.3 API REST</w:t>
      </w:r>
    </w:p>
    <w:p>
      <w:pPr>
        <w:jc w:val="both"/>
      </w:pPr>
      <w:r>
        <w:rPr>
          <w:sz w:val="21"/>
        </w:rPr>
        <w:t xml:space="preserve">La API expone la versión 1 bajo el prefijo </w:t>
      </w:r>
      <w:r>
        <w:rPr>
          <w:rFonts w:ascii="Consolas" w:hAnsi="Consolas"/>
          <w:sz w:val="20"/>
        </w:rPr>
        <w:t>/api/v1</w:t>
      </w:r>
      <w:r>
        <w:rPr>
          <w:sz w:val="21"/>
        </w:rPr>
        <w:t xml:space="preserve">. Es de solo lectura, responde JSON comprimido cuando la respuesta lo amerita y publica su documentación interactiva (OpenAPI) en </w:t>
      </w:r>
      <w:r>
        <w:rPr>
          <w:rFonts w:ascii="Consolas" w:hAnsi="Consolas"/>
          <w:sz w:val="20"/>
        </w:rPr>
        <w:t>/docs</w:t>
      </w:r>
      <w:r>
        <w:rPr>
          <w:sz w:val="21"/>
        </w:rPr>
        <w:t>.</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381"/>
            <w:shd w:val="clear" w:color="auto" w:fill="0B4660"/>
          </w:tcPr>
          <w:p>
            <w:pPr>
              <w:keepNext/>
              <w:spacing w:before="40" w:after="40"/>
            </w:pPr>
            <w:r>
              <w:rPr>
                <w:b/>
                <w:color w:val="FFFFFF"/>
                <w:sz w:val="18"/>
              </w:rPr>
              <w:t>Método y ruta</w:t>
            </w:r>
          </w:p>
        </w:tc>
        <w:tc>
          <w:tcPr>
            <w:tcW w:type="dxa" w:w="5216"/>
            <w:shd w:val="clear" w:color="auto" w:fill="0B4660"/>
          </w:tcPr>
          <w:p>
            <w:pPr>
              <w:keepNext/>
              <w:spacing w:before="40" w:after="40"/>
            </w:pPr>
            <w:r>
              <w:rPr>
                <w:b/>
                <w:color w:val="FFFFFF"/>
                <w:sz w:val="18"/>
              </w:rPr>
              <w:t>Qué entrega</w:t>
            </w:r>
          </w:p>
        </w:tc>
        <w:tc>
          <w:tcPr>
            <w:tcW w:type="dxa" w:w="2438"/>
            <w:shd w:val="clear" w:color="auto" w:fill="0B4660"/>
          </w:tcPr>
          <w:p>
            <w:pPr>
              <w:keepNext/>
              <w:spacing w:before="40" w:after="40"/>
            </w:pPr>
            <w:r>
              <w:rPr>
                <w:b/>
                <w:color w:val="FFFFFF"/>
                <w:sz w:val="18"/>
              </w:rPr>
              <w:t>Parámetros</w:t>
            </w:r>
          </w:p>
        </w:tc>
      </w:tr>
      <w:tr>
        <w:trPr>
          <w:cantSplit w:val="true"/>
        </w:trPr>
        <w:tc>
          <w:tcPr>
            <w:tcW w:type="dxa" w:w="2381"/>
          </w:tcPr>
          <w:p>
            <w:pPr>
              <w:spacing w:before="40" w:after="40"/>
            </w:pPr>
            <w:r>
              <w:rPr>
                <w:b/>
                <w:sz w:val="18"/>
              </w:rPr>
              <w:t xml:space="preserve">GET </w:t>
            </w:r>
            <w:r>
              <w:rPr>
                <w:rFonts w:ascii="Consolas" w:hAnsi="Consolas"/>
                <w:b/>
                <w:sz w:val="18"/>
              </w:rPr>
              <w:t>/salud</w:t>
            </w:r>
          </w:p>
        </w:tc>
        <w:tc>
          <w:tcPr>
            <w:tcW w:type="dxa" w:w="5216"/>
          </w:tcPr>
          <w:p>
            <w:pPr>
              <w:spacing w:before="40" w:after="40"/>
            </w:pPr>
            <w:r>
              <w:rPr>
                <w:sz w:val="18"/>
              </w:rPr>
              <w:t>Estado de la carga de datos y del pronóstico.</w:t>
            </w:r>
          </w:p>
        </w:tc>
        <w:tc>
          <w:tcPr>
            <w:tcW w:type="dxa" w:w="2438"/>
          </w:tcPr>
          <w:p>
            <w:pPr>
              <w:spacing w:before="40" w:after="40"/>
            </w:pPr>
            <w:r>
              <w:rPr>
                <w:sz w:val="18"/>
              </w:rPr>
              <w:t>—</w:t>
            </w:r>
          </w:p>
        </w:tc>
      </w:tr>
      <w:tr>
        <w:trPr>
          <w:cantSplit w:val="true"/>
        </w:trPr>
        <w:tc>
          <w:tcPr>
            <w:tcW w:type="dxa" w:w="2381"/>
            <w:shd w:val="clear" w:color="auto" w:fill="EEF3F6"/>
          </w:tcPr>
          <w:p>
            <w:pPr>
              <w:spacing w:before="40" w:after="40"/>
            </w:pPr>
            <w:r>
              <w:rPr>
                <w:b/>
                <w:sz w:val="18"/>
              </w:rPr>
              <w:t xml:space="preserve">GET </w:t>
            </w:r>
            <w:r>
              <w:rPr>
                <w:rFonts w:ascii="Consolas" w:hAnsi="Consolas"/>
                <w:b/>
                <w:sz w:val="18"/>
              </w:rPr>
              <w:t>/meta</w:t>
            </w:r>
          </w:p>
        </w:tc>
        <w:tc>
          <w:tcPr>
            <w:tcW w:type="dxa" w:w="5216"/>
            <w:shd w:val="clear" w:color="auto" w:fill="EEF3F6"/>
          </w:tcPr>
          <w:p>
            <w:pPr>
              <w:spacing w:before="40" w:after="40"/>
            </w:pPr>
            <w:r>
              <w:rPr>
                <w:sz w:val="18"/>
              </w:rPr>
              <w:t>Modelo servido, horizontes, nivel del intervalo, última semana observada, semana en curso, origen del pronóstico, cobertura real fuera de muestra y advertencias de lectura.</w:t>
            </w:r>
          </w:p>
        </w:tc>
        <w:tc>
          <w:tcPr>
            <w:tcW w:type="dxa" w:w="2438"/>
            <w:shd w:val="clear" w:color="auto" w:fill="EEF3F6"/>
          </w:tcPr>
          <w:p>
            <w:pPr>
              <w:spacing w:before="40" w:after="40"/>
            </w:pPr>
            <w:r>
              <w:rPr>
                <w:sz w:val="18"/>
              </w:rPr>
              <w:t>—</w:t>
            </w:r>
          </w:p>
        </w:tc>
      </w:tr>
      <w:tr>
        <w:trPr>
          <w:cantSplit w:val="true"/>
        </w:trPr>
        <w:tc>
          <w:tcPr>
            <w:tcW w:type="dxa" w:w="2381"/>
          </w:tcPr>
          <w:p>
            <w:pPr>
              <w:spacing w:before="40" w:after="40"/>
            </w:pPr>
            <w:r>
              <w:rPr>
                <w:b/>
                <w:sz w:val="18"/>
              </w:rPr>
              <w:t xml:space="preserve">GET </w:t>
            </w:r>
            <w:r>
              <w:rPr>
                <w:rFonts w:ascii="Consolas" w:hAnsi="Consolas"/>
                <w:b/>
                <w:sz w:val="18"/>
              </w:rPr>
              <w:t>/territorios</w:t>
            </w:r>
          </w:p>
        </w:tc>
        <w:tc>
          <w:tcPr>
            <w:tcW w:type="dxa" w:w="5216"/>
          </w:tcPr>
          <w:p>
            <w:pPr>
              <w:spacing w:before="40" w:after="40"/>
            </w:pPr>
            <w:r>
              <w:rPr>
                <w:sz w:val="18"/>
              </w:rPr>
              <w:t>Región y las 52 comunas, indicando cuáles tienen pronóstico y, si no, por qué.</w:t>
            </w:r>
          </w:p>
        </w:tc>
        <w:tc>
          <w:tcPr>
            <w:tcW w:type="dxa" w:w="2438"/>
          </w:tcPr>
          <w:p>
            <w:pPr>
              <w:spacing w:before="40" w:after="40"/>
            </w:pPr>
            <w:r>
              <w:rPr>
                <w:sz w:val="18"/>
              </w:rPr>
              <w:t>—</w:t>
            </w:r>
          </w:p>
        </w:tc>
      </w:tr>
      <w:tr>
        <w:trPr>
          <w:cantSplit w:val="true"/>
        </w:trPr>
        <w:tc>
          <w:tcPr>
            <w:tcW w:type="dxa" w:w="2381"/>
            <w:shd w:val="clear" w:color="auto" w:fill="EEF3F6"/>
          </w:tcPr>
          <w:p>
            <w:pPr>
              <w:spacing w:before="40" w:after="40"/>
            </w:pPr>
            <w:r>
              <w:rPr>
                <w:b/>
                <w:sz w:val="18"/>
              </w:rPr>
              <w:t xml:space="preserve">GET </w:t>
            </w:r>
            <w:r>
              <w:rPr>
                <w:rFonts w:ascii="Consolas" w:hAnsi="Consolas"/>
                <w:b/>
                <w:sz w:val="18"/>
              </w:rPr>
              <w:t>/series/{series_id}</w:t>
            </w:r>
          </w:p>
        </w:tc>
        <w:tc>
          <w:tcPr>
            <w:tcW w:type="dxa" w:w="5216"/>
            <w:shd w:val="clear" w:color="auto" w:fill="EEF3F6"/>
          </w:tcPr>
          <w:p>
            <w:pPr>
              <w:spacing w:before="40" w:after="40"/>
            </w:pPr>
            <w:r>
              <w:rPr>
                <w:sz w:val="18"/>
              </w:rPr>
              <w:t>Historia observada de una serie y su pronóstico con intervalo.</w:t>
            </w:r>
          </w:p>
        </w:tc>
        <w:tc>
          <w:tcPr>
            <w:tcW w:type="dxa" w:w="2438"/>
            <w:shd w:val="clear" w:color="auto" w:fill="EEF3F6"/>
          </w:tcPr>
          <w:p>
            <w:pPr>
              <w:spacing w:before="40" w:after="40"/>
            </w:pPr>
            <w:r>
              <w:rPr>
                <w:rFonts w:ascii="Consolas" w:hAnsi="Consolas"/>
                <w:sz w:val="18"/>
              </w:rPr>
              <w:t>semanas</w:t>
            </w:r>
            <w:r>
              <w:rPr>
                <w:sz w:val="18"/>
              </w:rPr>
              <w:t xml:space="preserve"> (1 a 520; por defecto 104)</w:t>
            </w:r>
          </w:p>
        </w:tc>
      </w:tr>
      <w:tr>
        <w:trPr>
          <w:cantSplit w:val="true"/>
        </w:trPr>
        <w:tc>
          <w:tcPr>
            <w:tcW w:type="dxa" w:w="2381"/>
          </w:tcPr>
          <w:p>
            <w:pPr>
              <w:spacing w:before="40" w:after="40"/>
            </w:pPr>
            <w:r>
              <w:rPr>
                <w:b/>
                <w:sz w:val="18"/>
              </w:rPr>
              <w:t xml:space="preserve">GET </w:t>
            </w:r>
            <w:r>
              <w:rPr>
                <w:rFonts w:ascii="Consolas" w:hAnsi="Consolas"/>
                <w:b/>
                <w:sz w:val="18"/>
              </w:rPr>
              <w:t>/pronosticos</w:t>
            </w:r>
          </w:p>
        </w:tc>
        <w:tc>
          <w:tcPr>
            <w:tcW w:type="dxa" w:w="5216"/>
          </w:tcPr>
          <w:p>
            <w:pPr>
              <w:spacing w:before="40" w:after="40"/>
            </w:pPr>
            <w:r>
              <w:rPr>
                <w:sz w:val="18"/>
              </w:rPr>
              <w:t>Pronóstico de todas las series.</w:t>
            </w:r>
          </w:p>
        </w:tc>
        <w:tc>
          <w:tcPr>
            <w:tcW w:type="dxa" w:w="2438"/>
          </w:tcPr>
          <w:p>
            <w:pPr>
              <w:spacing w:before="40" w:after="40"/>
            </w:pPr>
            <w:r>
              <w:rPr>
                <w:rFonts w:ascii="Consolas" w:hAnsi="Consolas"/>
                <w:sz w:val="18"/>
              </w:rPr>
              <w:t>nivel</w:t>
            </w:r>
            <w:r>
              <w:rPr>
                <w:sz w:val="18"/>
              </w:rPr>
              <w:t xml:space="preserve"> (region o comuna), </w:t>
            </w:r>
            <w:r>
              <w:rPr>
                <w:rFonts w:ascii="Consolas" w:hAnsi="Consolas"/>
                <w:sz w:val="18"/>
              </w:rPr>
              <w:t>horizonte</w:t>
            </w:r>
          </w:p>
        </w:tc>
      </w:tr>
      <w:tr>
        <w:trPr>
          <w:cantSplit w:val="true"/>
        </w:trPr>
        <w:tc>
          <w:tcPr>
            <w:tcW w:type="dxa" w:w="2381"/>
            <w:shd w:val="clear" w:color="auto" w:fill="EEF3F6"/>
          </w:tcPr>
          <w:p>
            <w:pPr>
              <w:spacing w:before="40" w:after="40"/>
            </w:pPr>
            <w:r>
              <w:rPr>
                <w:b/>
                <w:sz w:val="18"/>
              </w:rPr>
              <w:t xml:space="preserve">GET </w:t>
            </w:r>
            <w:r>
              <w:rPr>
                <w:rFonts w:ascii="Consolas" w:hAnsi="Consolas"/>
                <w:b/>
                <w:sz w:val="18"/>
              </w:rPr>
              <w:t>/resumen-comunal</w:t>
            </w:r>
          </w:p>
        </w:tc>
        <w:tc>
          <w:tcPr>
            <w:tcW w:type="dxa" w:w="5216"/>
            <w:shd w:val="clear" w:color="auto" w:fill="EEF3F6"/>
          </w:tcPr>
          <w:p>
            <w:pPr>
              <w:spacing w:before="40" w:after="40"/>
            </w:pPr>
            <w:r>
              <w:rPr>
                <w:sz w:val="18"/>
              </w:rPr>
              <w:t>Una fila por comuna: nivel reciente, pronóstico, cambio esperado y contexto territorial.</w:t>
            </w:r>
          </w:p>
        </w:tc>
        <w:tc>
          <w:tcPr>
            <w:tcW w:type="dxa" w:w="2438"/>
            <w:shd w:val="clear" w:color="auto" w:fill="EEF3F6"/>
          </w:tcPr>
          <w:p>
            <w:pPr>
              <w:spacing w:before="40" w:after="40"/>
            </w:pPr>
            <w:r>
              <w:rPr>
                <w:sz w:val="18"/>
              </w:rPr>
              <w:t>—</w:t>
            </w:r>
          </w:p>
        </w:tc>
      </w:tr>
      <w:tr>
        <w:trPr>
          <w:cantSplit w:val="true"/>
        </w:trPr>
        <w:tc>
          <w:tcPr>
            <w:tcW w:type="dxa" w:w="2381"/>
          </w:tcPr>
          <w:p>
            <w:pPr>
              <w:spacing w:before="40" w:after="40"/>
            </w:pPr>
            <w:r>
              <w:rPr>
                <w:b/>
                <w:sz w:val="18"/>
              </w:rPr>
              <w:t xml:space="preserve">GET </w:t>
            </w:r>
            <w:r>
              <w:rPr>
                <w:rFonts w:ascii="Consolas" w:hAnsi="Consolas"/>
                <w:b/>
                <w:sz w:val="18"/>
              </w:rPr>
              <w:t>/geo/comunas</w:t>
            </w:r>
          </w:p>
        </w:tc>
        <w:tc>
          <w:tcPr>
            <w:tcW w:type="dxa" w:w="5216"/>
          </w:tcPr>
          <w:p>
            <w:pPr>
              <w:spacing w:before="40" w:after="40"/>
            </w:pPr>
            <w:r>
              <w:rPr>
                <w:sz w:val="18"/>
              </w:rPr>
              <w:t>Límites comunales simplificados en GeoJSON.</w:t>
            </w:r>
          </w:p>
        </w:tc>
        <w:tc>
          <w:tcPr>
            <w:tcW w:type="dxa" w:w="2438"/>
          </w:tcPr>
          <w:p>
            <w:pPr>
              <w:spacing w:before="40" w:after="40"/>
            </w:pPr>
            <w:r>
              <w:rPr>
                <w:sz w:val="18"/>
              </w:rPr>
              <w:t>—</w:t>
            </w:r>
          </w:p>
        </w:tc>
      </w:tr>
    </w:tbl>
    <w:p>
      <w:pPr>
        <w:spacing w:after="80"/>
      </w:pPr>
    </w:p>
    <w:p>
      <w:pPr>
        <w:pStyle w:val="Heading3"/>
      </w:pPr>
      <w:r>
        <w:t>Contrato de errores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381"/>
            <w:shd w:val="clear" w:color="auto" w:fill="0B4660"/>
          </w:tcPr>
          <w:p>
            <w:pPr>
              <w:keepNext/>
              <w:spacing w:before="40" w:after="40"/>
            </w:pPr>
            <w:r>
              <w:rPr>
                <w:b/>
                <w:color w:val="FFFFFF"/>
                <w:sz w:val="18"/>
              </w:rPr>
              <w:t>Código</w:t>
            </w:r>
          </w:p>
        </w:tc>
        <w:tc>
          <w:tcPr>
            <w:tcW w:type="dxa" w:w="4592"/>
            <w:shd w:val="clear" w:color="auto" w:fill="0B4660"/>
          </w:tcPr>
          <w:p>
            <w:pPr>
              <w:keepNext/>
              <w:spacing w:before="40" w:after="40"/>
            </w:pPr>
            <w:r>
              <w:rPr>
                <w:b/>
                <w:color w:val="FFFFFF"/>
                <w:sz w:val="18"/>
              </w:rPr>
              <w:t>Cuándo ocurre</w:t>
            </w:r>
          </w:p>
        </w:tc>
        <w:tc>
          <w:tcPr>
            <w:tcW w:type="dxa" w:w="3061"/>
            <w:shd w:val="clear" w:color="auto" w:fill="0B4660"/>
          </w:tcPr>
          <w:p>
            <w:pPr>
              <w:keepNext/>
              <w:spacing w:before="40" w:after="40"/>
            </w:pPr>
            <w:r>
              <w:rPr>
                <w:b/>
                <w:color w:val="FFFFFF"/>
                <w:sz w:val="18"/>
              </w:rPr>
              <w:t>Qué debe hacer el cliente</w:t>
            </w:r>
          </w:p>
        </w:tc>
      </w:tr>
      <w:tr>
        <w:trPr>
          <w:cantSplit w:val="true"/>
        </w:trPr>
        <w:tc>
          <w:tcPr>
            <w:tcW w:type="dxa" w:w="2381"/>
          </w:tcPr>
          <w:p>
            <w:pPr>
              <w:spacing w:before="40" w:after="40"/>
            </w:pPr>
            <w:r>
              <w:rPr>
                <w:b/>
                <w:sz w:val="18"/>
              </w:rPr>
              <w:t>200</w:t>
            </w:r>
          </w:p>
        </w:tc>
        <w:tc>
          <w:tcPr>
            <w:tcW w:type="dxa" w:w="4592"/>
          </w:tcPr>
          <w:p>
            <w:pPr>
              <w:spacing w:before="40" w:after="40"/>
            </w:pPr>
            <w:r>
              <w:rPr>
                <w:sz w:val="18"/>
              </w:rPr>
              <w:t>La respuesta está completa.</w:t>
            </w:r>
          </w:p>
        </w:tc>
        <w:tc>
          <w:tcPr>
            <w:tcW w:type="dxa" w:w="3061"/>
          </w:tcPr>
          <w:p>
            <w:pPr>
              <w:spacing w:before="40" w:after="40"/>
            </w:pPr>
            <w:r>
              <w:rPr>
                <w:sz w:val="18"/>
              </w:rPr>
              <w:t>Usarla.</w:t>
            </w:r>
          </w:p>
        </w:tc>
      </w:tr>
      <w:tr>
        <w:trPr>
          <w:cantSplit w:val="true"/>
        </w:trPr>
        <w:tc>
          <w:tcPr>
            <w:tcW w:type="dxa" w:w="2381"/>
            <w:shd w:val="clear" w:color="auto" w:fill="EEF3F6"/>
          </w:tcPr>
          <w:p>
            <w:pPr>
              <w:spacing w:before="40" w:after="40"/>
            </w:pPr>
            <w:r>
              <w:rPr>
                <w:b/>
                <w:sz w:val="18"/>
              </w:rPr>
              <w:t>404</w:t>
            </w:r>
          </w:p>
        </w:tc>
        <w:tc>
          <w:tcPr>
            <w:tcW w:type="dxa" w:w="4592"/>
            <w:shd w:val="clear" w:color="auto" w:fill="EEF3F6"/>
          </w:tcPr>
          <w:p>
            <w:pPr>
              <w:spacing w:before="40" w:after="40"/>
            </w:pPr>
            <w:r>
              <w:rPr>
                <w:sz w:val="18"/>
              </w:rPr>
              <w:t>La serie no existe o no es modelable; el cuerpo trae el motivo.</w:t>
            </w:r>
          </w:p>
        </w:tc>
        <w:tc>
          <w:tcPr>
            <w:tcW w:type="dxa" w:w="3061"/>
            <w:shd w:val="clear" w:color="auto" w:fill="EEF3F6"/>
          </w:tcPr>
          <w:p>
            <w:pPr>
              <w:spacing w:before="40" w:after="40"/>
            </w:pPr>
            <w:r>
              <w:rPr>
                <w:sz w:val="18"/>
              </w:rPr>
              <w:t>Mostrar el motivo; no reintentar.</w:t>
            </w:r>
          </w:p>
        </w:tc>
      </w:tr>
      <w:tr>
        <w:trPr>
          <w:cantSplit w:val="true"/>
        </w:trPr>
        <w:tc>
          <w:tcPr>
            <w:tcW w:type="dxa" w:w="2381"/>
          </w:tcPr>
          <w:p>
            <w:pPr>
              <w:spacing w:before="40" w:after="40"/>
            </w:pPr>
            <w:r>
              <w:rPr>
                <w:b/>
                <w:sz w:val="18"/>
              </w:rPr>
              <w:t xml:space="preserve">503 con </w:t>
            </w:r>
            <w:r>
              <w:rPr>
                <w:rFonts w:ascii="Consolas" w:hAnsi="Consolas"/>
                <w:b/>
                <w:sz w:val="18"/>
              </w:rPr>
              <w:t>Retry-After</w:t>
            </w:r>
          </w:p>
        </w:tc>
        <w:tc>
          <w:tcPr>
            <w:tcW w:type="dxa" w:w="4592"/>
          </w:tcPr>
          <w:p>
            <w:pPr>
              <w:spacing w:before="40" w:after="40"/>
            </w:pPr>
            <w:r>
              <w:rPr>
                <w:sz w:val="18"/>
              </w:rPr>
              <w:t>Los datos cargan o el pronóstico se calcula.</w:t>
            </w:r>
          </w:p>
        </w:tc>
        <w:tc>
          <w:tcPr>
            <w:tcW w:type="dxa" w:w="3061"/>
          </w:tcPr>
          <w:p>
            <w:pPr>
              <w:spacing w:before="40" w:after="40"/>
            </w:pPr>
            <w:r>
              <w:rPr>
                <w:sz w:val="18"/>
              </w:rPr>
              <w:t>Reintentar tras el tiempo indicado.</w:t>
            </w:r>
          </w:p>
        </w:tc>
      </w:tr>
      <w:tr>
        <w:trPr>
          <w:cantSplit w:val="true"/>
        </w:trPr>
        <w:tc>
          <w:tcPr>
            <w:tcW w:type="dxa" w:w="2381"/>
            <w:shd w:val="clear" w:color="auto" w:fill="EEF3F6"/>
          </w:tcPr>
          <w:p>
            <w:pPr>
              <w:spacing w:before="40" w:after="40"/>
            </w:pPr>
            <w:r>
              <w:rPr>
                <w:b/>
                <w:sz w:val="18"/>
              </w:rPr>
              <w:t xml:space="preserve">503 sin </w:t>
            </w:r>
            <w:r>
              <w:rPr>
                <w:rFonts w:ascii="Consolas" w:hAnsi="Consolas"/>
                <w:b/>
                <w:sz w:val="18"/>
              </w:rPr>
              <w:t>Retry-After</w:t>
            </w:r>
          </w:p>
        </w:tc>
        <w:tc>
          <w:tcPr>
            <w:tcW w:type="dxa" w:w="4592"/>
            <w:shd w:val="clear" w:color="auto" w:fill="EEF3F6"/>
          </w:tcPr>
          <w:p>
            <w:pPr>
              <w:spacing w:before="40" w:after="40"/>
            </w:pPr>
            <w:r>
              <w:rPr>
                <w:sz w:val="18"/>
              </w:rPr>
              <w:t>Falta un output del pipeline; el cuerpo nombra la etapa a ejecutar.</w:t>
            </w:r>
          </w:p>
        </w:tc>
        <w:tc>
          <w:tcPr>
            <w:tcW w:type="dxa" w:w="3061"/>
            <w:shd w:val="clear" w:color="auto" w:fill="EEF3F6"/>
          </w:tcPr>
          <w:p>
            <w:pPr>
              <w:spacing w:before="40" w:after="40"/>
            </w:pPr>
            <w:r>
              <w:rPr>
                <w:sz w:val="18"/>
              </w:rPr>
              <w:t>Informar el problema; no reintentar.</w:t>
            </w:r>
          </w:p>
        </w:tc>
      </w:tr>
    </w:tbl>
    <w:p>
      <w:pPr>
        <w:spacing w:after="80"/>
      </w:pPr>
    </w:p>
    <w:p>
      <w:pPr>
        <w:pStyle w:val="Heading3"/>
      </w:pPr>
      <w:r>
        <w:t>Convenciones del contrato</w:t>
      </w:r>
    </w:p>
    <w:p>
      <w:pPr>
        <w:pStyle w:val="ListBullet"/>
        <w:spacing w:after="60"/>
      </w:pPr>
      <w:r>
        <w:rPr>
          <w:sz w:val="21"/>
        </w:rPr>
        <w:t xml:space="preserve">Todo valor ausente se entrega como </w:t>
      </w:r>
      <w:r>
        <w:rPr>
          <w:rFonts w:ascii="Consolas" w:hAnsi="Consolas"/>
          <w:sz w:val="20"/>
        </w:rPr>
        <w:t>null</w:t>
      </w:r>
      <w:r>
        <w:rPr>
          <w:sz w:val="21"/>
        </w:rPr>
        <w:t>, nunca como cero.</w:t>
      </w:r>
    </w:p>
    <w:p>
      <w:pPr>
        <w:pStyle w:val="ListBullet"/>
        <w:spacing w:after="60"/>
      </w:pPr>
      <w:r>
        <w:rPr>
          <w:sz w:val="21"/>
        </w:rPr>
        <w:t>Las cifras son atenciones (eventos), no personas únicas; el contrato lo declara en sus descripciones.</w:t>
      </w:r>
    </w:p>
    <w:p>
      <w:pPr>
        <w:pStyle w:val="ListBullet"/>
        <w:spacing w:after="60"/>
      </w:pPr>
      <w:r>
        <w:rPr>
          <w:sz w:val="21"/>
        </w:rPr>
        <w:t>Cada pronóstico viaja con sus límites inferior y superior; no existe un endpoint que entregue solo el valor puntual.</w:t>
      </w:r>
    </w:p>
    <w:p>
      <w:pPr>
        <w:pStyle w:val="ListBullet"/>
        <w:spacing w:after="60"/>
      </w:pPr>
      <w:r>
        <w:rPr>
          <w:sz w:val="21"/>
        </w:rPr>
        <w:t xml:space="preserve">Las advertencias de interpretación forman parte de </w:t>
      </w:r>
      <w:r>
        <w:rPr>
          <w:rFonts w:ascii="Consolas" w:hAnsi="Consolas"/>
          <w:sz w:val="20"/>
        </w:rPr>
        <w:t>/meta</w:t>
      </w:r>
      <w:r>
        <w:rPr>
          <w:sz w:val="21"/>
        </w:rPr>
        <w:t>, de modo que cualquier cliente las recibe.</w:t>
      </w:r>
    </w:p>
    <w:p>
      <w:pPr>
        <w:pStyle w:val="Heading1"/>
      </w:pPr>
      <w:r>
        <w:t>10. Tecnologías y decisiones arquitectónicas</w:t>
      </w:r>
    </w:p>
    <w:p>
      <w:pPr>
        <w:pStyle w:val="Heading2"/>
      </w:pPr>
      <w:r>
        <w:t>10.1 Tecnologías y su justificación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1984"/>
            <w:shd w:val="clear" w:color="auto" w:fill="0B4660"/>
          </w:tcPr>
          <w:p>
            <w:pPr>
              <w:keepNext/>
              <w:spacing w:before="40" w:after="40"/>
            </w:pPr>
            <w:r>
              <w:rPr>
                <w:b/>
                <w:color w:val="FFFFFF"/>
                <w:sz w:val="17"/>
              </w:rPr>
              <w:t>Tecnología</w:t>
            </w:r>
          </w:p>
        </w:tc>
        <w:tc>
          <w:tcPr>
            <w:tcW w:type="dxa" w:w="2041"/>
            <w:shd w:val="clear" w:color="auto" w:fill="0B4660"/>
          </w:tcPr>
          <w:p>
            <w:pPr>
              <w:keepNext/>
              <w:spacing w:before="40" w:after="40"/>
            </w:pPr>
            <w:r>
              <w:rPr>
                <w:b/>
                <w:color w:val="FFFFFF"/>
                <w:sz w:val="17"/>
              </w:rPr>
              <w:t>Uso</w:t>
            </w:r>
          </w:p>
        </w:tc>
        <w:tc>
          <w:tcPr>
            <w:tcW w:type="dxa" w:w="3742"/>
            <w:shd w:val="clear" w:color="auto" w:fill="0B4660"/>
          </w:tcPr>
          <w:p>
            <w:pPr>
              <w:keepNext/>
              <w:spacing w:before="40" w:after="40"/>
            </w:pPr>
            <w:r>
              <w:rPr>
                <w:b/>
                <w:color w:val="FFFFFF"/>
                <w:sz w:val="17"/>
              </w:rPr>
              <w:t>Por qué</w:t>
            </w:r>
          </w:p>
        </w:tc>
        <w:tc>
          <w:tcPr>
            <w:tcW w:type="dxa" w:w="2268"/>
            <w:shd w:val="clear" w:color="auto" w:fill="0B4660"/>
          </w:tcPr>
          <w:p>
            <w:pPr>
              <w:keepNext/>
              <w:spacing w:before="40" w:after="40"/>
            </w:pPr>
            <w:r>
              <w:rPr>
                <w:b/>
                <w:color w:val="FFFFFF"/>
                <w:sz w:val="17"/>
              </w:rPr>
              <w:t>Alternativa descartada</w:t>
            </w:r>
          </w:p>
        </w:tc>
      </w:tr>
      <w:tr>
        <w:trPr>
          <w:cantSplit w:val="true"/>
        </w:trPr>
        <w:tc>
          <w:tcPr>
            <w:tcW w:type="dxa" w:w="1984"/>
          </w:tcPr>
          <w:p>
            <w:pPr>
              <w:spacing w:before="40" w:after="40"/>
            </w:pPr>
            <w:r>
              <w:rPr>
                <w:b/>
                <w:sz w:val="17"/>
              </w:rPr>
              <w:t>Python 3.12</w:t>
            </w:r>
          </w:p>
        </w:tc>
        <w:tc>
          <w:tcPr>
            <w:tcW w:type="dxa" w:w="2041"/>
          </w:tcPr>
          <w:p>
            <w:pPr>
              <w:spacing w:before="40" w:after="40"/>
            </w:pPr>
            <w:r>
              <w:rPr>
                <w:sz w:val="17"/>
              </w:rPr>
              <w:t>Pipeline, modelos y API.</w:t>
            </w:r>
          </w:p>
        </w:tc>
        <w:tc>
          <w:tcPr>
            <w:tcW w:type="dxa" w:w="3742"/>
          </w:tcPr>
          <w:p>
            <w:pPr>
              <w:spacing w:before="40" w:after="40"/>
            </w:pPr>
            <w:r>
              <w:rPr>
                <w:sz w:val="17"/>
              </w:rPr>
              <w:t>Un solo lenguaje desde la ingesta hasta el servicio; ecosistema analítico maduro (RT-01).</w:t>
            </w:r>
          </w:p>
        </w:tc>
        <w:tc>
          <w:tcPr>
            <w:tcW w:type="dxa" w:w="2268"/>
          </w:tcPr>
          <w:p>
            <w:pPr>
              <w:spacing w:before="40" w:after="40"/>
            </w:pPr>
            <w:r>
              <w:rPr>
                <w:sz w:val="17"/>
              </w:rPr>
              <w:t>R: separa el análisis del servicio.</w:t>
            </w:r>
          </w:p>
        </w:tc>
      </w:tr>
      <w:tr>
        <w:trPr>
          <w:cantSplit w:val="true"/>
        </w:trPr>
        <w:tc>
          <w:tcPr>
            <w:tcW w:type="dxa" w:w="1984"/>
            <w:shd w:val="clear" w:color="auto" w:fill="EEF3F6"/>
          </w:tcPr>
          <w:p>
            <w:pPr>
              <w:spacing w:before="40" w:after="40"/>
            </w:pPr>
            <w:r>
              <w:rPr>
                <w:b/>
                <w:sz w:val="17"/>
              </w:rPr>
              <w:t>pandas 3 y PyArrow 25</w:t>
            </w:r>
          </w:p>
        </w:tc>
        <w:tc>
          <w:tcPr>
            <w:tcW w:type="dxa" w:w="2041"/>
            <w:shd w:val="clear" w:color="auto" w:fill="EEF3F6"/>
          </w:tcPr>
          <w:p>
            <w:pPr>
              <w:spacing w:before="40" w:after="40"/>
            </w:pPr>
            <w:r>
              <w:rPr>
                <w:sz w:val="17"/>
              </w:rPr>
              <w:t>Transformación y lectura/escritura columnar.</w:t>
            </w:r>
          </w:p>
        </w:tc>
        <w:tc>
          <w:tcPr>
            <w:tcW w:type="dxa" w:w="3742"/>
            <w:shd w:val="clear" w:color="auto" w:fill="EEF3F6"/>
          </w:tcPr>
          <w:p>
            <w:pPr>
              <w:spacing w:before="40" w:after="40"/>
            </w:pPr>
            <w:r>
              <w:rPr>
                <w:sz w:val="17"/>
              </w:rPr>
              <w:t>Lectura selectiva de columnas y filtros sobre Parquet sin cargar archivos completos.</w:t>
            </w:r>
          </w:p>
        </w:tc>
        <w:tc>
          <w:tcPr>
            <w:tcW w:type="dxa" w:w="2268"/>
            <w:shd w:val="clear" w:color="auto" w:fill="EEF3F6"/>
          </w:tcPr>
          <w:p>
            <w:pPr>
              <w:spacing w:before="40" w:after="40"/>
            </w:pPr>
            <w:r>
              <w:rPr>
                <w:sz w:val="17"/>
              </w:rPr>
              <w:t>Leer CSV completos en memoria.</w:t>
            </w:r>
          </w:p>
        </w:tc>
      </w:tr>
      <w:tr>
        <w:trPr>
          <w:cantSplit w:val="true"/>
        </w:trPr>
        <w:tc>
          <w:tcPr>
            <w:tcW w:type="dxa" w:w="1984"/>
          </w:tcPr>
          <w:p>
            <w:pPr>
              <w:spacing w:before="40" w:after="40"/>
            </w:pPr>
            <w:r>
              <w:rPr>
                <w:b/>
                <w:sz w:val="17"/>
              </w:rPr>
              <w:t>Parquet y GeoParquet</w:t>
            </w:r>
          </w:p>
        </w:tc>
        <w:tc>
          <w:tcPr>
            <w:tcW w:type="dxa" w:w="2041"/>
          </w:tcPr>
          <w:p>
            <w:pPr>
              <w:spacing w:before="40" w:after="40"/>
            </w:pPr>
            <w:r>
              <w:rPr>
                <w:sz w:val="17"/>
              </w:rPr>
              <w:t>Formato de la capa procesada.</w:t>
            </w:r>
          </w:p>
        </w:tc>
        <w:tc>
          <w:tcPr>
            <w:tcW w:type="dxa" w:w="3742"/>
          </w:tcPr>
          <w:p>
            <w:pPr>
              <w:spacing w:before="40" w:after="40"/>
            </w:pPr>
            <w:r>
              <w:rPr>
                <w:sz w:val="17"/>
              </w:rPr>
              <w:t>Tipado, compresión y metadatos propios; regenerable y portable.</w:t>
            </w:r>
          </w:p>
        </w:tc>
        <w:tc>
          <w:tcPr>
            <w:tcW w:type="dxa" w:w="2268"/>
          </w:tcPr>
          <w:p>
            <w:pPr>
              <w:spacing w:before="40" w:after="40"/>
            </w:pPr>
            <w:r>
              <w:rPr>
                <w:sz w:val="17"/>
              </w:rPr>
              <w:t>CSV: sin tipos y más pesado.</w:t>
            </w:r>
          </w:p>
        </w:tc>
      </w:tr>
      <w:tr>
        <w:trPr>
          <w:cantSplit w:val="true"/>
        </w:trPr>
        <w:tc>
          <w:tcPr>
            <w:tcW w:type="dxa" w:w="1984"/>
            <w:shd w:val="clear" w:color="auto" w:fill="EEF3F6"/>
          </w:tcPr>
          <w:p>
            <w:pPr>
              <w:spacing w:before="40" w:after="40"/>
            </w:pPr>
            <w:r>
              <w:rPr>
                <w:b/>
                <w:sz w:val="17"/>
              </w:rPr>
              <w:t>LightGBM 4.7</w:t>
            </w:r>
          </w:p>
        </w:tc>
        <w:tc>
          <w:tcPr>
            <w:tcW w:type="dxa" w:w="2041"/>
            <w:shd w:val="clear" w:color="auto" w:fill="EEF3F6"/>
          </w:tcPr>
          <w:p>
            <w:pPr>
              <w:spacing w:before="40" w:after="40"/>
            </w:pPr>
            <w:r>
              <w:rPr>
                <w:sz w:val="17"/>
              </w:rPr>
              <w:t>Modelo global de las comunas.</w:t>
            </w:r>
          </w:p>
        </w:tc>
        <w:tc>
          <w:tcPr>
            <w:tcW w:type="dxa" w:w="3742"/>
            <w:shd w:val="clear" w:color="auto" w:fill="EEF3F6"/>
          </w:tcPr>
          <w:p>
            <w:pPr>
              <w:spacing w:before="40" w:after="40"/>
            </w:pPr>
            <w:r>
              <w:rPr>
                <w:sz w:val="17"/>
              </w:rPr>
              <w:t>Aprende de todas las series a la vez y soporta conteos con objetivo de Poisson.</w:t>
            </w:r>
          </w:p>
        </w:tc>
        <w:tc>
          <w:tcPr>
            <w:tcW w:type="dxa" w:w="2268"/>
            <w:shd w:val="clear" w:color="auto" w:fill="EEF3F6"/>
          </w:tcPr>
          <w:p>
            <w:pPr>
              <w:spacing w:before="40" w:after="40"/>
            </w:pPr>
            <w:r>
              <w:rPr>
                <w:sz w:val="17"/>
              </w:rPr>
              <w:t>Un modelo por comuna: pocas observaciones en las pequeñas.</w:t>
            </w:r>
          </w:p>
        </w:tc>
      </w:tr>
      <w:tr>
        <w:trPr>
          <w:cantSplit w:val="true"/>
        </w:trPr>
        <w:tc>
          <w:tcPr>
            <w:tcW w:type="dxa" w:w="1984"/>
          </w:tcPr>
          <w:p>
            <w:pPr>
              <w:spacing w:before="40" w:after="40"/>
            </w:pPr>
            <w:r>
              <w:rPr>
                <w:b/>
                <w:sz w:val="17"/>
              </w:rPr>
              <w:t>scikit-learn 1.9 y statsmodels 0.15</w:t>
            </w:r>
          </w:p>
        </w:tc>
        <w:tc>
          <w:tcPr>
            <w:tcW w:type="dxa" w:w="2041"/>
          </w:tcPr>
          <w:p>
            <w:pPr>
              <w:spacing w:before="40" w:after="40"/>
            </w:pPr>
            <w:r>
              <w:rPr>
                <w:sz w:val="17"/>
              </w:rPr>
              <w:t>GLM de Poisson regional y pruebas estadísticas.</w:t>
            </w:r>
          </w:p>
        </w:tc>
        <w:tc>
          <w:tcPr>
            <w:tcW w:type="dxa" w:w="3742"/>
          </w:tcPr>
          <w:p>
            <w:pPr>
              <w:spacing w:before="40" w:after="40"/>
            </w:pPr>
            <w:r>
              <w:rPr>
                <w:sz w:val="17"/>
              </w:rPr>
              <w:t>Modelo interpretable para la serie agregada; herramientas estándar de diagnóstico.</w:t>
            </w:r>
          </w:p>
        </w:tc>
        <w:tc>
          <w:tcPr>
            <w:tcW w:type="dxa" w:w="2268"/>
          </w:tcPr>
          <w:p>
            <w:pPr>
              <w:spacing w:before="40" w:after="40"/>
            </w:pPr>
            <w:r>
              <w:rPr>
                <w:sz w:val="17"/>
              </w:rPr>
              <w:t>Redes neuronales: sin datos suficientes.</w:t>
            </w:r>
          </w:p>
        </w:tc>
      </w:tr>
      <w:tr>
        <w:trPr>
          <w:cantSplit w:val="true"/>
        </w:trPr>
        <w:tc>
          <w:tcPr>
            <w:tcW w:type="dxa" w:w="1984"/>
            <w:shd w:val="clear" w:color="auto" w:fill="EEF3F6"/>
          </w:tcPr>
          <w:p>
            <w:pPr>
              <w:spacing w:before="40" w:after="40"/>
            </w:pPr>
            <w:r>
              <w:rPr>
                <w:b/>
                <w:sz w:val="17"/>
              </w:rPr>
              <w:t>FastAPI 0.141 y Pydantic 2</w:t>
            </w:r>
          </w:p>
        </w:tc>
        <w:tc>
          <w:tcPr>
            <w:tcW w:type="dxa" w:w="2041"/>
            <w:shd w:val="clear" w:color="auto" w:fill="EEF3F6"/>
          </w:tcPr>
          <w:p>
            <w:pPr>
              <w:spacing w:before="40" w:after="40"/>
            </w:pPr>
            <w:r>
              <w:rPr>
                <w:sz w:val="17"/>
              </w:rPr>
              <w:t>API y contratos de respuesta.</w:t>
            </w:r>
          </w:p>
        </w:tc>
        <w:tc>
          <w:tcPr>
            <w:tcW w:type="dxa" w:w="3742"/>
            <w:shd w:val="clear" w:color="auto" w:fill="EEF3F6"/>
          </w:tcPr>
          <w:p>
            <w:pPr>
              <w:spacing w:before="40" w:after="40"/>
            </w:pPr>
            <w:r>
              <w:rPr>
                <w:sz w:val="17"/>
              </w:rPr>
              <w:t>Validación tipada y documentación OpenAPI generada desde el mismo contrato (RNF-CMP-003).</w:t>
            </w:r>
          </w:p>
        </w:tc>
        <w:tc>
          <w:tcPr>
            <w:tcW w:type="dxa" w:w="2268"/>
            <w:shd w:val="clear" w:color="auto" w:fill="EEF3F6"/>
          </w:tcPr>
          <w:p>
            <w:pPr>
              <w:spacing w:before="40" w:after="40"/>
            </w:pPr>
            <w:r>
              <w:rPr>
                <w:sz w:val="17"/>
              </w:rPr>
              <w:t>Flask: contratos y documentación a mano.</w:t>
            </w:r>
          </w:p>
        </w:tc>
      </w:tr>
      <w:tr>
        <w:trPr>
          <w:cantSplit w:val="true"/>
        </w:trPr>
        <w:tc>
          <w:tcPr>
            <w:tcW w:type="dxa" w:w="1984"/>
          </w:tcPr>
          <w:p>
            <w:pPr>
              <w:spacing w:before="40" w:after="40"/>
            </w:pPr>
            <w:r>
              <w:rPr>
                <w:b/>
                <w:sz w:val="17"/>
              </w:rPr>
              <w:t>Uvicorn 0.53</w:t>
            </w:r>
          </w:p>
        </w:tc>
        <w:tc>
          <w:tcPr>
            <w:tcW w:type="dxa" w:w="2041"/>
          </w:tcPr>
          <w:p>
            <w:pPr>
              <w:spacing w:before="40" w:after="40"/>
            </w:pPr>
            <w:r>
              <w:rPr>
                <w:sz w:val="17"/>
              </w:rPr>
              <w:t>Servidor de la API.</w:t>
            </w:r>
          </w:p>
        </w:tc>
        <w:tc>
          <w:tcPr>
            <w:tcW w:type="dxa" w:w="3742"/>
          </w:tcPr>
          <w:p>
            <w:pPr>
              <w:spacing w:before="40" w:after="40"/>
            </w:pPr>
            <w:r>
              <w:rPr>
                <w:sz w:val="17"/>
              </w:rPr>
              <w:t>Servidor estándar de FastAPI; arranque simple en local.</w:t>
            </w:r>
          </w:p>
        </w:tc>
        <w:tc>
          <w:tcPr>
            <w:tcW w:type="dxa" w:w="2268"/>
          </w:tcPr>
          <w:p>
            <w:pPr>
              <w:spacing w:before="40" w:after="40"/>
            </w:pPr>
            <w:r>
              <w:rPr>
                <w:sz w:val="17"/>
              </w:rPr>
              <w:t>—</w:t>
            </w:r>
          </w:p>
        </w:tc>
      </w:tr>
      <w:tr>
        <w:trPr>
          <w:cantSplit w:val="true"/>
        </w:trPr>
        <w:tc>
          <w:tcPr>
            <w:tcW w:type="dxa" w:w="1984"/>
            <w:shd w:val="clear" w:color="auto" w:fill="EEF3F6"/>
          </w:tcPr>
          <w:p>
            <w:pPr>
              <w:spacing w:before="40" w:after="40"/>
            </w:pPr>
            <w:r>
              <w:rPr>
                <w:b/>
                <w:sz w:val="17"/>
              </w:rPr>
              <w:t>React 19 y TypeScript 7</w:t>
            </w:r>
          </w:p>
        </w:tc>
        <w:tc>
          <w:tcPr>
            <w:tcW w:type="dxa" w:w="2041"/>
            <w:shd w:val="clear" w:color="auto" w:fill="EEF3F6"/>
          </w:tcPr>
          <w:p>
            <w:pPr>
              <w:spacing w:before="40" w:after="40"/>
            </w:pPr>
            <w:r>
              <w:rPr>
                <w:sz w:val="17"/>
              </w:rPr>
              <w:t>Aplicación web.</w:t>
            </w:r>
          </w:p>
        </w:tc>
        <w:tc>
          <w:tcPr>
            <w:tcW w:type="dxa" w:w="3742"/>
            <w:shd w:val="clear" w:color="auto" w:fill="EEF3F6"/>
          </w:tcPr>
          <w:p>
            <w:pPr>
              <w:spacing w:before="40" w:after="40"/>
            </w:pPr>
            <w:r>
              <w:rPr>
                <w:sz w:val="17"/>
              </w:rPr>
              <w:t>Componentes reutilizables y tipos que reflejan el contrato de la API (RT-02).</w:t>
            </w:r>
          </w:p>
        </w:tc>
        <w:tc>
          <w:tcPr>
            <w:tcW w:type="dxa" w:w="2268"/>
            <w:shd w:val="clear" w:color="auto" w:fill="EEF3F6"/>
          </w:tcPr>
          <w:p>
            <w:pPr>
              <w:spacing w:before="40" w:after="40"/>
            </w:pPr>
            <w:r>
              <w:rPr>
                <w:sz w:val="17"/>
              </w:rPr>
              <w:t>Plantillas del servidor: acoplan interfaz y servicio.</w:t>
            </w:r>
          </w:p>
        </w:tc>
      </w:tr>
      <w:tr>
        <w:trPr>
          <w:cantSplit w:val="true"/>
        </w:trPr>
        <w:tc>
          <w:tcPr>
            <w:tcW w:type="dxa" w:w="1984"/>
          </w:tcPr>
          <w:p>
            <w:pPr>
              <w:spacing w:before="40" w:after="40"/>
            </w:pPr>
            <w:r>
              <w:rPr>
                <w:b/>
                <w:sz w:val="17"/>
              </w:rPr>
              <w:t>Vite 6</w:t>
            </w:r>
          </w:p>
        </w:tc>
        <w:tc>
          <w:tcPr>
            <w:tcW w:type="dxa" w:w="2041"/>
          </w:tcPr>
          <w:p>
            <w:pPr>
              <w:spacing w:before="40" w:after="40"/>
            </w:pPr>
            <w:r>
              <w:rPr>
                <w:sz w:val="17"/>
              </w:rPr>
              <w:t>Construcción y servidor de desarrollo.</w:t>
            </w:r>
          </w:p>
        </w:tc>
        <w:tc>
          <w:tcPr>
            <w:tcW w:type="dxa" w:w="3742"/>
          </w:tcPr>
          <w:p>
            <w:pPr>
              <w:spacing w:before="40" w:after="40"/>
            </w:pPr>
            <w:r>
              <w:rPr>
                <w:sz w:val="17"/>
              </w:rPr>
              <w:t>Recarga inmediata y proxy hacia la API sin configuración adicional.</w:t>
            </w:r>
          </w:p>
        </w:tc>
        <w:tc>
          <w:tcPr>
            <w:tcW w:type="dxa" w:w="2268"/>
          </w:tcPr>
          <w:p>
            <w:pPr>
              <w:spacing w:before="40" w:after="40"/>
            </w:pPr>
            <w:r>
              <w:rPr>
                <w:sz w:val="17"/>
              </w:rPr>
              <w:t>—</w:t>
            </w:r>
          </w:p>
        </w:tc>
      </w:tr>
      <w:tr>
        <w:trPr>
          <w:cantSplit w:val="true"/>
        </w:trPr>
        <w:tc>
          <w:tcPr>
            <w:tcW w:type="dxa" w:w="1984"/>
            <w:shd w:val="clear" w:color="auto" w:fill="EEF3F6"/>
          </w:tcPr>
          <w:p>
            <w:pPr>
              <w:spacing w:before="40" w:after="40"/>
            </w:pPr>
            <w:r>
              <w:rPr>
                <w:b/>
                <w:sz w:val="17"/>
              </w:rPr>
              <w:t>Tailwind CSS 4</w:t>
            </w:r>
          </w:p>
        </w:tc>
        <w:tc>
          <w:tcPr>
            <w:tcW w:type="dxa" w:w="2041"/>
            <w:shd w:val="clear" w:color="auto" w:fill="EEF3F6"/>
          </w:tcPr>
          <w:p>
            <w:pPr>
              <w:spacing w:before="40" w:after="40"/>
            </w:pPr>
            <w:r>
              <w:rPr>
                <w:sz w:val="17"/>
              </w:rPr>
              <w:t>Estilos.</w:t>
            </w:r>
          </w:p>
        </w:tc>
        <w:tc>
          <w:tcPr>
            <w:tcW w:type="dxa" w:w="3742"/>
            <w:shd w:val="clear" w:color="auto" w:fill="EEF3F6"/>
          </w:tcPr>
          <w:p>
            <w:pPr>
              <w:spacing w:before="40" w:after="40"/>
            </w:pPr>
            <w:r>
              <w:rPr>
                <w:sz w:val="17"/>
              </w:rPr>
              <w:t>Los tokens de la marca se declaran una vez y se usan en toda la interfaz.</w:t>
            </w:r>
          </w:p>
        </w:tc>
        <w:tc>
          <w:tcPr>
            <w:tcW w:type="dxa" w:w="2268"/>
            <w:shd w:val="clear" w:color="auto" w:fill="EEF3F6"/>
          </w:tcPr>
          <w:p>
            <w:pPr>
              <w:spacing w:before="40" w:after="40"/>
            </w:pPr>
            <w:r>
              <w:rPr>
                <w:sz w:val="17"/>
              </w:rPr>
              <w:t>Hojas de estilo sueltas.</w:t>
            </w:r>
          </w:p>
        </w:tc>
      </w:tr>
      <w:tr>
        <w:trPr>
          <w:cantSplit w:val="true"/>
        </w:trPr>
        <w:tc>
          <w:tcPr>
            <w:tcW w:type="dxa" w:w="1984"/>
          </w:tcPr>
          <w:p>
            <w:pPr>
              <w:spacing w:before="40" w:after="40"/>
            </w:pPr>
            <w:r>
              <w:rPr>
                <w:b/>
                <w:sz w:val="17"/>
              </w:rPr>
              <w:t>Recharts 3</w:t>
            </w:r>
          </w:p>
        </w:tc>
        <w:tc>
          <w:tcPr>
            <w:tcW w:type="dxa" w:w="2041"/>
          </w:tcPr>
          <w:p>
            <w:pPr>
              <w:spacing w:before="40" w:after="40"/>
            </w:pPr>
            <w:r>
              <w:rPr>
                <w:sz w:val="17"/>
              </w:rPr>
              <w:t>Gráfico de la serie.</w:t>
            </w:r>
          </w:p>
        </w:tc>
        <w:tc>
          <w:tcPr>
            <w:tcW w:type="dxa" w:w="3742"/>
          </w:tcPr>
          <w:p>
            <w:pPr>
              <w:spacing w:before="40" w:after="40"/>
            </w:pPr>
            <w:r>
              <w:rPr>
                <w:sz w:val="17"/>
              </w:rPr>
              <w:t>Composición declarativa de línea, pronóstico e intervalo.</w:t>
            </w:r>
          </w:p>
        </w:tc>
        <w:tc>
          <w:tcPr>
            <w:tcW w:type="dxa" w:w="2268"/>
          </w:tcPr>
          <w:p>
            <w:pPr>
              <w:spacing w:before="40" w:after="40"/>
            </w:pPr>
            <w:r>
              <w:rPr>
                <w:sz w:val="17"/>
              </w:rPr>
              <w:t>—</w:t>
            </w:r>
          </w:p>
        </w:tc>
      </w:tr>
      <w:tr>
        <w:trPr>
          <w:cantSplit w:val="true"/>
        </w:trPr>
        <w:tc>
          <w:tcPr>
            <w:tcW w:type="dxa" w:w="1984"/>
            <w:shd w:val="clear" w:color="auto" w:fill="EEF3F6"/>
          </w:tcPr>
          <w:p>
            <w:pPr>
              <w:spacing w:before="40" w:after="40"/>
            </w:pPr>
            <w:r>
              <w:rPr>
                <w:b/>
                <w:sz w:val="17"/>
              </w:rPr>
              <w:t>Leaflet 1.9 y React Leaflet 5</w:t>
            </w:r>
          </w:p>
        </w:tc>
        <w:tc>
          <w:tcPr>
            <w:tcW w:type="dxa" w:w="2041"/>
            <w:shd w:val="clear" w:color="auto" w:fill="EEF3F6"/>
          </w:tcPr>
          <w:p>
            <w:pPr>
              <w:spacing w:before="40" w:after="40"/>
            </w:pPr>
            <w:r>
              <w:rPr>
                <w:sz w:val="17"/>
              </w:rPr>
              <w:t>Mapa comunal.</w:t>
            </w:r>
          </w:p>
        </w:tc>
        <w:tc>
          <w:tcPr>
            <w:tcW w:type="dxa" w:w="3742"/>
            <w:shd w:val="clear" w:color="auto" w:fill="EEF3F6"/>
          </w:tcPr>
          <w:p>
            <w:pPr>
              <w:spacing w:before="40" w:after="40"/>
            </w:pPr>
            <w:r>
              <w:rPr>
                <w:sz w:val="17"/>
              </w:rPr>
              <w:t>Cartografía interactiva liviana, sin servicio propio de mapas.</w:t>
            </w:r>
          </w:p>
        </w:tc>
        <w:tc>
          <w:tcPr>
            <w:tcW w:type="dxa" w:w="2268"/>
            <w:shd w:val="clear" w:color="auto" w:fill="EEF3F6"/>
          </w:tcPr>
          <w:p>
            <w:pPr>
              <w:spacing w:before="40" w:after="40"/>
            </w:pPr>
            <w:r>
              <w:rPr>
                <w:sz w:val="17"/>
              </w:rPr>
              <w:t>—</w:t>
            </w:r>
          </w:p>
        </w:tc>
      </w:tr>
      <w:tr>
        <w:trPr>
          <w:cantSplit w:val="true"/>
        </w:trPr>
        <w:tc>
          <w:tcPr>
            <w:tcW w:type="dxa" w:w="1984"/>
          </w:tcPr>
          <w:p>
            <w:pPr>
              <w:spacing w:before="40" w:after="40"/>
            </w:pPr>
            <w:r>
              <w:rPr>
                <w:b/>
                <w:sz w:val="17"/>
              </w:rPr>
              <w:t>Shapely 2</w:t>
            </w:r>
          </w:p>
        </w:tc>
        <w:tc>
          <w:tcPr>
            <w:tcW w:type="dxa" w:w="2041"/>
          </w:tcPr>
          <w:p>
            <w:pPr>
              <w:spacing w:before="40" w:after="40"/>
            </w:pPr>
            <w:r>
              <w:rPr>
                <w:sz w:val="17"/>
              </w:rPr>
              <w:t>Simplificación de geometrías.</w:t>
            </w:r>
          </w:p>
        </w:tc>
        <w:tc>
          <w:tcPr>
            <w:tcW w:type="dxa" w:w="3742"/>
          </w:tcPr>
          <w:p>
            <w:pPr>
              <w:spacing w:before="40" w:after="40"/>
            </w:pPr>
            <w:r>
              <w:rPr>
                <w:sz w:val="17"/>
              </w:rPr>
              <w:t>Reduce el peso del GeoJSON que viaja al navegador.</w:t>
            </w:r>
          </w:p>
        </w:tc>
        <w:tc>
          <w:tcPr>
            <w:tcW w:type="dxa" w:w="2268"/>
          </w:tcPr>
          <w:p>
            <w:pPr>
              <w:spacing w:before="40" w:after="40"/>
            </w:pPr>
            <w:r>
              <w:rPr>
                <w:sz w:val="17"/>
              </w:rPr>
              <w:t>—</w:t>
            </w:r>
          </w:p>
        </w:tc>
      </w:tr>
      <w:tr>
        <w:trPr>
          <w:cantSplit w:val="true"/>
        </w:trPr>
        <w:tc>
          <w:tcPr>
            <w:tcW w:type="dxa" w:w="1984"/>
            <w:shd w:val="clear" w:color="auto" w:fill="EEF3F6"/>
          </w:tcPr>
          <w:p>
            <w:pPr>
              <w:spacing w:before="40" w:after="40"/>
            </w:pPr>
            <w:r>
              <w:rPr>
                <w:b/>
                <w:sz w:val="17"/>
              </w:rPr>
              <w:t>pytest 9</w:t>
            </w:r>
          </w:p>
        </w:tc>
        <w:tc>
          <w:tcPr>
            <w:tcW w:type="dxa" w:w="2041"/>
            <w:shd w:val="clear" w:color="auto" w:fill="EEF3F6"/>
          </w:tcPr>
          <w:p>
            <w:pPr>
              <w:spacing w:before="40" w:after="40"/>
            </w:pPr>
            <w:r>
              <w:rPr>
                <w:sz w:val="17"/>
              </w:rPr>
              <w:t>Pruebas automatizadas.</w:t>
            </w:r>
          </w:p>
        </w:tc>
        <w:tc>
          <w:tcPr>
            <w:tcW w:type="dxa" w:w="3742"/>
            <w:shd w:val="clear" w:color="auto" w:fill="EEF3F6"/>
          </w:tcPr>
          <w:p>
            <w:pPr>
              <w:spacing w:before="40" w:after="40"/>
            </w:pPr>
            <w:r>
              <w:rPr>
                <w:sz w:val="17"/>
              </w:rPr>
              <w:t>Regla técnica del proyecto (RT-06).</w:t>
            </w:r>
          </w:p>
        </w:tc>
        <w:tc>
          <w:tcPr>
            <w:tcW w:type="dxa" w:w="2268"/>
            <w:shd w:val="clear" w:color="auto" w:fill="EEF3F6"/>
          </w:tcPr>
          <w:p>
            <w:pPr>
              <w:spacing w:before="40" w:after="40"/>
            </w:pPr>
            <w:r>
              <w:rPr>
                <w:sz w:val="17"/>
              </w:rPr>
              <w:t>—</w:t>
            </w:r>
          </w:p>
        </w:tc>
      </w:tr>
      <w:tr>
        <w:trPr>
          <w:cantSplit w:val="true"/>
        </w:trPr>
        <w:tc>
          <w:tcPr>
            <w:tcW w:type="dxa" w:w="1984"/>
          </w:tcPr>
          <w:p>
            <w:pPr>
              <w:spacing w:before="40" w:after="40"/>
            </w:pPr>
            <w:r>
              <w:rPr>
                <w:b/>
                <w:sz w:val="17"/>
              </w:rPr>
              <w:t>python-docx y Matplotlib</w:t>
            </w:r>
          </w:p>
        </w:tc>
        <w:tc>
          <w:tcPr>
            <w:tcW w:type="dxa" w:w="2041"/>
          </w:tcPr>
          <w:p>
            <w:pPr>
              <w:spacing w:before="40" w:after="40"/>
            </w:pPr>
            <w:r>
              <w:rPr>
                <w:sz w:val="17"/>
              </w:rPr>
              <w:t>Documentos y figuras.</w:t>
            </w:r>
          </w:p>
        </w:tc>
        <w:tc>
          <w:tcPr>
            <w:tcW w:type="dxa" w:w="3742"/>
          </w:tcPr>
          <w:p>
            <w:pPr>
              <w:spacing w:before="40" w:after="40"/>
            </w:pPr>
            <w:r>
              <w:rPr>
                <w:sz w:val="17"/>
              </w:rPr>
              <w:t>La documentación formal se genera desde código versionado.</w:t>
            </w:r>
          </w:p>
        </w:tc>
        <w:tc>
          <w:tcPr>
            <w:tcW w:type="dxa" w:w="2268"/>
          </w:tcPr>
          <w:p>
            <w:pPr>
              <w:spacing w:before="40" w:after="40"/>
            </w:pPr>
            <w:r>
              <w:rPr>
                <w:sz w:val="17"/>
              </w:rPr>
              <w:t>Edición manual.</w:t>
            </w:r>
          </w:p>
        </w:tc>
      </w:tr>
      <w:tr>
        <w:trPr>
          <w:cantSplit w:val="true"/>
        </w:trPr>
        <w:tc>
          <w:tcPr>
            <w:tcW w:type="dxa" w:w="1984"/>
            <w:shd w:val="clear" w:color="auto" w:fill="EEF3F6"/>
          </w:tcPr>
          <w:p>
            <w:pPr>
              <w:spacing w:before="40" w:after="40"/>
            </w:pPr>
            <w:r>
              <w:rPr>
                <w:b/>
                <w:sz w:val="17"/>
              </w:rPr>
              <w:t>PostgreSQL con PostGIS</w:t>
            </w:r>
          </w:p>
        </w:tc>
        <w:tc>
          <w:tcPr>
            <w:tcW w:type="dxa" w:w="2041"/>
            <w:shd w:val="clear" w:color="auto" w:fill="EEF3F6"/>
          </w:tcPr>
          <w:p>
            <w:pPr>
              <w:spacing w:before="40" w:after="40"/>
            </w:pPr>
            <w:r>
              <w:rPr>
                <w:sz w:val="17"/>
              </w:rPr>
              <w:t>Capa de servicio relacional (planificada).</w:t>
            </w:r>
          </w:p>
        </w:tc>
        <w:tc>
          <w:tcPr>
            <w:tcW w:type="dxa" w:w="3742"/>
            <w:shd w:val="clear" w:color="auto" w:fill="EEF3F6"/>
          </w:tcPr>
          <w:p>
            <w:pPr>
              <w:spacing w:before="40" w:after="40"/>
            </w:pPr>
            <w:r>
              <w:rPr>
                <w:sz w:val="17"/>
              </w:rPr>
              <w:t>Consultas espaciales sobre polígonos y rutas (RT-03).</w:t>
            </w:r>
          </w:p>
        </w:tc>
        <w:tc>
          <w:tcPr>
            <w:tcW w:type="dxa" w:w="2268"/>
            <w:shd w:val="clear" w:color="auto" w:fill="EEF3F6"/>
          </w:tcPr>
          <w:p>
            <w:pPr>
              <w:spacing w:before="40" w:after="40"/>
            </w:pPr>
            <w:r>
              <w:rPr>
                <w:sz w:val="17"/>
              </w:rPr>
              <w:t>—</w:t>
            </w:r>
          </w:p>
        </w:tc>
      </w:tr>
      <w:tr>
        <w:trPr>
          <w:cantSplit w:val="true"/>
        </w:trPr>
        <w:tc>
          <w:tcPr>
            <w:tcW w:type="dxa" w:w="1984"/>
          </w:tcPr>
          <w:p>
            <w:pPr>
              <w:spacing w:before="40" w:after="40"/>
            </w:pPr>
            <w:r>
              <w:rPr>
                <w:b/>
                <w:sz w:val="17"/>
              </w:rPr>
              <w:t>Docker Compose</w:t>
            </w:r>
          </w:p>
        </w:tc>
        <w:tc>
          <w:tcPr>
            <w:tcW w:type="dxa" w:w="2041"/>
          </w:tcPr>
          <w:p>
            <w:pPr>
              <w:spacing w:before="40" w:after="40"/>
            </w:pPr>
            <w:r>
              <w:rPr>
                <w:sz w:val="17"/>
              </w:rPr>
              <w:t>Empaquetado (planificado).</w:t>
            </w:r>
          </w:p>
        </w:tc>
        <w:tc>
          <w:tcPr>
            <w:tcW w:type="dxa" w:w="3742"/>
          </w:tcPr>
          <w:p>
            <w:pPr>
              <w:spacing w:before="40" w:after="40"/>
            </w:pPr>
            <w:r>
              <w:rPr>
                <w:sz w:val="17"/>
              </w:rPr>
              <w:t>Mismo entorno entre integrantes y en el despliegue (RT-04).</w:t>
            </w:r>
          </w:p>
        </w:tc>
        <w:tc>
          <w:tcPr>
            <w:tcW w:type="dxa" w:w="2268"/>
          </w:tcPr>
          <w:p>
            <w:pPr>
              <w:spacing w:before="40" w:after="40"/>
            </w:pPr>
            <w:r>
              <w:rPr>
                <w:sz w:val="17"/>
              </w:rPr>
              <w:t>—</w:t>
            </w:r>
          </w:p>
        </w:tc>
      </w:tr>
    </w:tbl>
    <w:p>
      <w:pPr>
        <w:spacing w:after="80"/>
      </w:pPr>
    </w:p>
    <w:p>
      <w:pPr>
        <w:pStyle w:val="Heading2"/>
      </w:pPr>
      <w:r>
        <w:t>10.2 Registro de decisiones arquitectónicas</w:t>
      </w:r>
    </w:p>
    <w:p>
      <w:pPr>
        <w:jc w:val="both"/>
      </w:pPr>
      <w:r>
        <w:rPr>
          <w:sz w:val="21"/>
        </w:rPr>
        <w:t>Cada decisión se registra con el problema que resuelve, lo que se decidió y lo que cuesta. Las consecuencias incluyen las negativas: una decisión sin costo declarado no fue analizada.</w:t>
      </w:r>
    </w:p>
    <w:p>
      <w:pPr>
        <w:pStyle w:val="Heading3"/>
      </w:pPr>
      <w:r>
        <w:t>ADR-01 · Pipeline por lotes orquestado como DAG</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Las cifras deben poder reconstruirse y las fuentes cambian sin aviso.</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 xml:space="preserve">Todo output canónico se genera por </w:t>
            </w:r>
            <w:r>
              <w:rPr>
                <w:rFonts w:ascii="Consolas" w:hAnsi="Consolas"/>
                <w:sz w:val="18"/>
              </w:rPr>
              <w:t>scripts/run_pipeline.py</w:t>
            </w:r>
            <w:r>
              <w:rPr>
                <w:sz w:val="18"/>
              </w:rPr>
              <w:t>, con etapas que declaran entradas, salidas y validación, y que hacen SKIP cuando su resultado sigue siendo válido.</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 xml:space="preserve">A favor: reproducibilidad y regeneración mínima. En contra: cada script nuevo debe registrarse en el DAG, en </w:t>
            </w:r>
            <w:r>
              <w:rPr>
                <w:rFonts w:ascii="Consolas" w:hAnsi="Consolas"/>
                <w:sz w:val="18"/>
              </w:rPr>
              <w:t>PIPELINE.md</w:t>
            </w:r>
            <w:r>
              <w:rPr>
                <w:sz w:val="18"/>
              </w:rPr>
              <w:t xml:space="preserve"> y en las pruebas.</w:t>
            </w:r>
          </w:p>
        </w:tc>
      </w:tr>
    </w:tbl>
    <w:p>
      <w:pPr>
        <w:spacing w:after="80"/>
      </w:pPr>
    </w:p>
    <w:p>
      <w:pPr>
        <w:pStyle w:val="Heading3"/>
      </w:pPr>
      <w:r>
        <w:t>ADR-02 · Parquet como almacenamiento de la capa procesada; base relacional diferida</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RT-03 pide PostgreSQL/PostGIS, pero el producto aún estaba definiendo qué tablas necesitaba y no hay infraestructura.</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La capa procesada vive en archivos Parquet que la API lee directamente. El diseño físico relacional se mantiene escrito y sincronizado, y se cargará cuando lo exija el análisis espacial o el despliegue.</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cero servicios que mantener y datos regenerables desde Git. En contra: RT-03 queda parcialmente atendida y las consultas espaciales complejas no están disponibles.</w:t>
            </w:r>
          </w:p>
        </w:tc>
      </w:tr>
    </w:tbl>
    <w:p>
      <w:pPr>
        <w:spacing w:after="80"/>
      </w:pPr>
    </w:p>
    <w:p>
      <w:pPr>
        <w:pStyle w:val="Heading3"/>
      </w:pPr>
      <w:r>
        <w:t>ADR-03 · RAW inmutable con procedencia por SHA256</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El archivo del año en curso se sobrescribe en la fuente y no conserva versiones.</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Se descarga a una ubicación temporal, se valida, se registra su huella y recién entonces se publica. Las etapas posteriores solo leen el RAW.</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se sabe con qué datos se obtuvo cada resultado. En contra: un snapshot antiguo no puede reconstruirse solo desde su URL si la fuente ya lo reemplazó.</w:t>
            </w:r>
          </w:p>
        </w:tc>
      </w:tr>
    </w:tbl>
    <w:p>
      <w:pPr>
        <w:spacing w:after="80"/>
      </w:pPr>
    </w:p>
    <w:p>
      <w:pPr>
        <w:pStyle w:val="Heading3"/>
      </w:pPr>
      <w:r>
        <w:t>ADR-04 · Interfaz única de modelo, registro y selección congelada</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Comparar modelos solo es honesto si todos se evalúan igual, y servir un modelo solo es correcto si es exactamente el evaluado.</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Todos los modelos cumplen una interfaz mínima. El benchmark elige uno por nombre y lo deja en un archivo de selección; holdout, pronóstico y API lo instancian desde un registro único.</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reemplazar el modelo no toca la API (RNF-FLE-005). En contra: cambiar un hiperparámetro obliga a reejecutar benchmark y holdout.</w:t>
            </w:r>
          </w:p>
        </w:tc>
      </w:tr>
    </w:tbl>
    <w:p>
      <w:pPr>
        <w:spacing w:after="80"/>
      </w:pPr>
    </w:p>
    <w:p>
      <w:pPr>
        <w:pStyle w:val="Heading3"/>
      </w:pPr>
      <w:r>
        <w:t>ADR-05 · Se persiste el pronóstico, no el modelo entrenado</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Ajustar el modelo en cada arranque de la API tomaba decenas de segundos.</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Una etapa del pipeline calcula el pronóstico una vez y lo guarda con un manifiesto de modelo, configuración y huella de sus entradas. La API lo reutiliza si sigue vigente.</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arranque en milisegundos y procedencia explícita. En contra: la vigencia depende de qué entradas vigila el manifiesto (ver deuda técnica DT-03).</w:t>
            </w:r>
          </w:p>
        </w:tc>
      </w:tr>
    </w:tbl>
    <w:p>
      <w:pPr>
        <w:spacing w:after="80"/>
      </w:pPr>
    </w:p>
    <w:p>
      <w:pPr>
        <w:pStyle w:val="Heading3"/>
      </w:pPr>
      <w:r>
        <w:t>ADR-06 · API de solo lectura que responde desde memoria</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La consulta debe ser rápida y no puede alterar datos.</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 xml:space="preserve">La API carga los artefactos al arrancar y solo filtra y serializa. Lo que aún no está listo se informa con </w:t>
            </w:r>
            <w:r>
              <w:rPr>
                <w:rFonts w:ascii="Consolas" w:hAnsi="Consolas"/>
                <w:sz w:val="18"/>
              </w:rPr>
              <w:t>503</w:t>
            </w:r>
            <w:r>
              <w:rPr>
                <w:sz w:val="18"/>
              </w:rPr>
              <w:t xml:space="preserve"> y </w:t>
            </w:r>
            <w:r>
              <w:rPr>
                <w:rFonts w:ascii="Consolas" w:hAnsi="Consolas"/>
                <w:sz w:val="18"/>
              </w:rPr>
              <w:t>Retry-After</w:t>
            </w:r>
            <w:r>
              <w:rPr>
                <w:sz w:val="18"/>
              </w:rPr>
              <w:t>.</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latencia baja y superficie de riesgo mínima. En contra: estado por proceso; un snapshot nuevo exige reiniciar y no se puede escalar horizontalmente sin replantearlo.</w:t>
            </w:r>
          </w:p>
        </w:tc>
      </w:tr>
    </w:tbl>
    <w:p>
      <w:pPr>
        <w:spacing w:after="80"/>
      </w:pPr>
    </w:p>
    <w:p>
      <w:pPr>
        <w:pStyle w:val="Heading3"/>
      </w:pPr>
      <w:r>
        <w:t>ADR-07 · Aplicación web separada de la API</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La interfaz y el análisis evolucionan a ritmos distintos y con responsables distintos.</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La aplicación React se comunica con la API solo por HTTP/JSON, a través de un cliente tipado.</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cada parte se construye y prueba por separado. En contra: el contrato debe mantenerse a mano en dos lugares (</w:t>
            </w:r>
            <w:r>
              <w:rPr>
                <w:rFonts w:ascii="Consolas" w:hAnsi="Consolas"/>
                <w:sz w:val="18"/>
              </w:rPr>
              <w:t>schemas.py</w:t>
            </w:r>
            <w:r>
              <w:rPr>
                <w:sz w:val="18"/>
              </w:rPr>
              <w:t xml:space="preserve"> y </w:t>
            </w:r>
            <w:r>
              <w:rPr>
                <w:rFonts w:ascii="Consolas" w:hAnsi="Consolas"/>
                <w:sz w:val="18"/>
              </w:rPr>
              <w:t>api.ts</w:t>
            </w:r>
            <w:r>
              <w:rPr>
                <w:sz w:val="18"/>
              </w:rPr>
              <w:t>).</w:t>
            </w:r>
          </w:p>
        </w:tc>
      </w:tr>
    </w:tbl>
    <w:p>
      <w:pPr>
        <w:spacing w:after="80"/>
      </w:pPr>
    </w:p>
    <w:p>
      <w:pPr>
        <w:pStyle w:val="Heading3"/>
      </w:pPr>
      <w:r>
        <w:t>ADR-08 · Urgencias y Egresos con granularidades separadas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Egresos no identifica el establecimiento y ninguna fuente identifica pacientes.</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El modelo de datos mantiene ambas fuentes como entidades separadas; toda relación entre ellas es territorial y ecológica.</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impide por construcción un cruce indebido (RN-05). En contra: no se puede seguir la trayectoria de un caso desde la urgencia hasta la hospitalización.</w:t>
            </w:r>
          </w:p>
        </w:tc>
      </w:tr>
    </w:tbl>
    <w:p>
      <w:pPr>
        <w:spacing w:after="80"/>
      </w:pPr>
    </w:p>
    <w:p>
      <w:pPr>
        <w:pStyle w:val="Heading3"/>
      </w:pPr>
      <w:r>
        <w:t>ADR-09 · Documentación formal y figuras generadas desde código</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701"/>
            <w:shd w:val="clear" w:color="auto" w:fill="0B4660"/>
          </w:tcPr>
          <w:p>
            <w:pPr>
              <w:keepNext/>
              <w:spacing w:before="40" w:after="40"/>
            </w:pPr>
            <w:r>
              <w:rPr>
                <w:b/>
                <w:color w:val="FFFFFF"/>
                <w:sz w:val="18"/>
              </w:rPr>
              <w:t>Aspecto</w:t>
            </w:r>
          </w:p>
        </w:tc>
        <w:tc>
          <w:tcPr>
            <w:tcW w:type="dxa" w:w="8334"/>
            <w:shd w:val="clear" w:color="auto" w:fill="0B4660"/>
          </w:tcPr>
          <w:p>
            <w:pPr>
              <w:keepNext/>
              <w:spacing w:before="40" w:after="40"/>
            </w:pPr>
            <w:r>
              <w:rPr>
                <w:b/>
                <w:color w:val="FFFFFF"/>
                <w:sz w:val="18"/>
              </w:rPr>
              <w:t>Detalle</w:t>
            </w:r>
          </w:p>
        </w:tc>
      </w:tr>
      <w:tr>
        <w:trPr>
          <w:cantSplit w:val="true"/>
        </w:trPr>
        <w:tc>
          <w:tcPr>
            <w:tcW w:type="dxa" w:w="1701"/>
          </w:tcPr>
          <w:p>
            <w:pPr>
              <w:keepNext/>
              <w:spacing w:before="40" w:after="40"/>
            </w:pPr>
            <w:r>
              <w:rPr>
                <w:b/>
                <w:sz w:val="18"/>
              </w:rPr>
              <w:t>Contexto</w:t>
            </w:r>
          </w:p>
        </w:tc>
        <w:tc>
          <w:tcPr>
            <w:tcW w:type="dxa" w:w="8334"/>
          </w:tcPr>
          <w:p>
            <w:pPr>
              <w:keepNext/>
              <w:spacing w:before="40" w:after="40"/>
            </w:pPr>
            <w:r>
              <w:rPr>
                <w:sz w:val="18"/>
              </w:rPr>
              <w:t>Los documentos editados a mano se desalinean del sistema y no dejan historial revisable.</w:t>
            </w:r>
          </w:p>
        </w:tc>
      </w:tr>
      <w:tr>
        <w:trPr>
          <w:cantSplit w:val="true"/>
        </w:trPr>
        <w:tc>
          <w:tcPr>
            <w:tcW w:type="dxa" w:w="1701"/>
            <w:shd w:val="clear" w:color="auto" w:fill="EEF3F6"/>
          </w:tcPr>
          <w:p>
            <w:pPr>
              <w:keepNext/>
              <w:spacing w:before="40" w:after="40"/>
            </w:pPr>
            <w:r>
              <w:rPr>
                <w:b/>
                <w:sz w:val="18"/>
              </w:rPr>
              <w:t>Decisión</w:t>
            </w:r>
          </w:p>
        </w:tc>
        <w:tc>
          <w:tcPr>
            <w:tcW w:type="dxa" w:w="8334"/>
            <w:shd w:val="clear" w:color="auto" w:fill="EEF3F6"/>
          </w:tcPr>
          <w:p>
            <w:pPr>
              <w:keepNext/>
              <w:spacing w:before="40" w:after="40"/>
            </w:pPr>
            <w:r>
              <w:rPr>
                <w:sz w:val="18"/>
              </w:rPr>
              <w:t>Los documentos de requisitos, este documento y sus figuras se generan con scripts versionados.</w:t>
            </w:r>
          </w:p>
        </w:tc>
      </w:tr>
      <w:tr>
        <w:trPr>
          <w:cantSplit w:val="true"/>
        </w:trPr>
        <w:tc>
          <w:tcPr>
            <w:tcW w:type="dxa" w:w="1701"/>
          </w:tcPr>
          <w:p>
            <w:pPr>
              <w:spacing w:before="40" w:after="40"/>
            </w:pPr>
            <w:r>
              <w:rPr>
                <w:b/>
                <w:sz w:val="18"/>
              </w:rPr>
              <w:t>Consecuencias</w:t>
            </w:r>
          </w:p>
        </w:tc>
        <w:tc>
          <w:tcPr>
            <w:tcW w:type="dxa" w:w="8334"/>
          </w:tcPr>
          <w:p>
            <w:pPr>
              <w:spacing w:before="40" w:after="40"/>
            </w:pPr>
            <w:r>
              <w:rPr>
                <w:sz w:val="18"/>
              </w:rPr>
              <w:t>A favor: cambios revisables y regeneración inmediata. En contra: editar el documento exige editar su script.</w:t>
            </w:r>
          </w:p>
        </w:tc>
      </w:tr>
    </w:tbl>
    <w:p>
      <w:pPr>
        <w:spacing w:after="80"/>
      </w:pPr>
    </w:p>
    <w:p>
      <w:pPr>
        <w:pStyle w:val="Heading1"/>
      </w:pPr>
      <w:r>
        <w:t>11. Cómo responde la arquitectura a los atributos de calidad</w:t>
      </w:r>
    </w:p>
    <w:p>
      <w:pPr>
        <w:jc w:val="both"/>
      </w:pPr>
      <w:r>
        <w:rPr>
          <w:sz w:val="21"/>
        </w:rPr>
        <w:t>La tabla relaciona los requisitos no funcionales con el mecanismo arquitectónico que los atiende. La columna de estado es deliberadamente estricta: «Atendido» significa que el mecanismo existe y se puede señalar en el código, no que el valor objetivo del requisito haya sido medido.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835"/>
            <w:shd w:val="clear" w:color="auto" w:fill="0B4660"/>
          </w:tcPr>
          <w:p>
            <w:pPr>
              <w:keepNext/>
              <w:spacing w:before="40" w:after="40"/>
            </w:pPr>
            <w:r>
              <w:rPr>
                <w:b/>
                <w:color w:val="FFFFFF"/>
                <w:sz w:val="17"/>
              </w:rPr>
              <w:t>Requisito</w:t>
            </w:r>
          </w:p>
        </w:tc>
        <w:tc>
          <w:tcPr>
            <w:tcW w:type="dxa" w:w="4762"/>
            <w:shd w:val="clear" w:color="auto" w:fill="0B4660"/>
          </w:tcPr>
          <w:p>
            <w:pPr>
              <w:keepNext/>
              <w:spacing w:before="40" w:after="40"/>
            </w:pPr>
            <w:r>
              <w:rPr>
                <w:b/>
                <w:color w:val="FFFFFF"/>
                <w:sz w:val="17"/>
              </w:rPr>
              <w:t>Mecanismo arquitectónico</w:t>
            </w:r>
          </w:p>
        </w:tc>
        <w:tc>
          <w:tcPr>
            <w:tcW w:type="dxa" w:w="2438"/>
            <w:shd w:val="clear" w:color="auto" w:fill="0B4660"/>
          </w:tcPr>
          <w:p>
            <w:pPr>
              <w:keepNext/>
              <w:spacing w:before="40" w:after="40"/>
            </w:pPr>
            <w:r>
              <w:rPr>
                <w:b/>
                <w:color w:val="FFFFFF"/>
                <w:sz w:val="17"/>
              </w:rPr>
              <w:t>Estado</w:t>
            </w:r>
          </w:p>
        </w:tc>
      </w:tr>
      <w:tr>
        <w:trPr>
          <w:cantSplit w:val="true"/>
        </w:trPr>
        <w:tc>
          <w:tcPr>
            <w:tcW w:type="dxa" w:w="2835"/>
          </w:tcPr>
          <w:p>
            <w:pPr>
              <w:spacing w:before="40" w:after="40"/>
            </w:pPr>
            <w:r>
              <w:rPr>
                <w:b/>
                <w:sz w:val="17"/>
              </w:rPr>
              <w:t>RNF-MAN-001 Modularidad</w:t>
            </w:r>
          </w:p>
        </w:tc>
        <w:tc>
          <w:tcPr>
            <w:tcW w:type="dxa" w:w="4762"/>
          </w:tcPr>
          <w:p>
            <w:pPr>
              <w:spacing w:before="40" w:after="40"/>
            </w:pPr>
            <w:r>
              <w:rPr>
                <w:sz w:val="17"/>
              </w:rPr>
              <w:t>Capas con dependencia en un solo sentido; contratos entre capas.</w:t>
            </w:r>
          </w:p>
        </w:tc>
        <w:tc>
          <w:tcPr>
            <w:tcW w:type="dxa" w:w="2438"/>
          </w:tcPr>
          <w:p>
            <w:pPr>
              <w:spacing w:before="40" w:after="40"/>
            </w:pPr>
            <w:r>
              <w:rPr>
                <w:sz w:val="17"/>
              </w:rPr>
              <w:t>Atendido</w:t>
            </w:r>
          </w:p>
        </w:tc>
      </w:tr>
      <w:tr>
        <w:trPr>
          <w:cantSplit w:val="true"/>
        </w:trPr>
        <w:tc>
          <w:tcPr>
            <w:tcW w:type="dxa" w:w="2835"/>
            <w:shd w:val="clear" w:color="auto" w:fill="EEF3F6"/>
          </w:tcPr>
          <w:p>
            <w:pPr>
              <w:spacing w:before="40" w:after="40"/>
            </w:pPr>
            <w:r>
              <w:rPr>
                <w:b/>
                <w:sz w:val="17"/>
              </w:rPr>
              <w:t>RNF-MAN-004 Prueba por función analítica</w:t>
            </w:r>
          </w:p>
        </w:tc>
        <w:tc>
          <w:tcPr>
            <w:tcW w:type="dxa" w:w="4762"/>
            <w:shd w:val="clear" w:color="auto" w:fill="EEF3F6"/>
          </w:tcPr>
          <w:p>
            <w:pPr>
              <w:spacing w:before="40" w:after="40"/>
            </w:pPr>
            <w:r>
              <w:rPr>
                <w:sz w:val="17"/>
              </w:rPr>
              <w:t>415 pruebas sobre transformaciones, modelos, contratos y API.</w:t>
            </w:r>
          </w:p>
        </w:tc>
        <w:tc>
          <w:tcPr>
            <w:tcW w:type="dxa" w:w="2438"/>
            <w:shd w:val="clear" w:color="auto" w:fill="EEF3F6"/>
          </w:tcPr>
          <w:p>
            <w:pPr>
              <w:spacing w:before="40" w:after="40"/>
            </w:pPr>
            <w:r>
              <w:rPr>
                <w:sz w:val="17"/>
              </w:rPr>
              <w:t>Atendido</w:t>
            </w:r>
          </w:p>
        </w:tc>
      </w:tr>
      <w:tr>
        <w:trPr>
          <w:cantSplit w:val="true"/>
        </w:trPr>
        <w:tc>
          <w:tcPr>
            <w:tcW w:type="dxa" w:w="2835"/>
          </w:tcPr>
          <w:p>
            <w:pPr>
              <w:spacing w:before="40" w:after="40"/>
            </w:pPr>
            <w:r>
              <w:rPr>
                <w:b/>
                <w:sz w:val="17"/>
              </w:rPr>
              <w:t>RNF-MAN-005 Integración continua</w:t>
            </w:r>
          </w:p>
        </w:tc>
        <w:tc>
          <w:tcPr>
            <w:tcW w:type="dxa" w:w="4762"/>
          </w:tcPr>
          <w:p>
            <w:pPr>
              <w:spacing w:before="40" w:after="40"/>
            </w:pPr>
            <w:r>
              <w:rPr>
                <w:sz w:val="17"/>
              </w:rPr>
              <w:t>No existe un flujo automático que ejecute las pruebas.</w:t>
            </w:r>
          </w:p>
        </w:tc>
        <w:tc>
          <w:tcPr>
            <w:tcW w:type="dxa" w:w="2438"/>
          </w:tcPr>
          <w:p>
            <w:pPr>
              <w:spacing w:before="40" w:after="40"/>
            </w:pPr>
            <w:r>
              <w:rPr>
                <w:sz w:val="17"/>
              </w:rPr>
              <w:t>Brecha</w:t>
            </w:r>
          </w:p>
        </w:tc>
      </w:tr>
      <w:tr>
        <w:trPr>
          <w:cantSplit w:val="true"/>
        </w:trPr>
        <w:tc>
          <w:tcPr>
            <w:tcW w:type="dxa" w:w="2835"/>
            <w:shd w:val="clear" w:color="auto" w:fill="EEF3F6"/>
          </w:tcPr>
          <w:p>
            <w:pPr>
              <w:spacing w:before="40" w:after="40"/>
            </w:pPr>
            <w:r>
              <w:rPr>
                <w:b/>
                <w:sz w:val="17"/>
              </w:rPr>
              <w:t>RNF-FLE-002 Extensibilidad territorial</w:t>
            </w:r>
          </w:p>
        </w:tc>
        <w:tc>
          <w:tcPr>
            <w:tcW w:type="dxa" w:w="4762"/>
            <w:shd w:val="clear" w:color="auto" w:fill="EEF3F6"/>
          </w:tcPr>
          <w:p>
            <w:pPr>
              <w:spacing w:before="40" w:after="40"/>
            </w:pPr>
            <w:r>
              <w:rPr>
                <w:sz w:val="17"/>
              </w:rPr>
              <w:t>Sin años ni comunas fijos; el RAW de Urgencias es nacional y se filtra en la limpieza.</w:t>
            </w:r>
          </w:p>
        </w:tc>
        <w:tc>
          <w:tcPr>
            <w:tcW w:type="dxa" w:w="2438"/>
            <w:shd w:val="clear" w:color="auto" w:fill="EEF3F6"/>
          </w:tcPr>
          <w:p>
            <w:pPr>
              <w:spacing w:before="40" w:after="40"/>
            </w:pPr>
            <w:r>
              <w:rPr>
                <w:sz w:val="17"/>
              </w:rPr>
              <w:t>Atendido en el diseño; no probado en otra región</w:t>
            </w:r>
          </w:p>
        </w:tc>
      </w:tr>
      <w:tr>
        <w:trPr>
          <w:cantSplit w:val="true"/>
        </w:trPr>
        <w:tc>
          <w:tcPr>
            <w:tcW w:type="dxa" w:w="2835"/>
          </w:tcPr>
          <w:p>
            <w:pPr>
              <w:spacing w:before="40" w:after="40"/>
            </w:pPr>
            <w:r>
              <w:rPr>
                <w:b/>
                <w:sz w:val="17"/>
              </w:rPr>
              <w:t>RNF-FLE-004 Instalación reproducible</w:t>
            </w:r>
          </w:p>
        </w:tc>
        <w:tc>
          <w:tcPr>
            <w:tcW w:type="dxa" w:w="4762"/>
          </w:tcPr>
          <w:p>
            <w:pPr>
              <w:spacing w:before="40" w:after="40"/>
            </w:pPr>
            <w:r>
              <w:rPr>
                <w:sz w:val="17"/>
              </w:rPr>
              <w:t>Dependencias fijadas por versión; carpetas creadas por el código.</w:t>
            </w:r>
          </w:p>
        </w:tc>
        <w:tc>
          <w:tcPr>
            <w:tcW w:type="dxa" w:w="2438"/>
          </w:tcPr>
          <w:p>
            <w:pPr>
              <w:spacing w:before="40" w:after="40"/>
            </w:pPr>
            <w:r>
              <w:rPr>
                <w:sz w:val="17"/>
              </w:rPr>
              <w:t>Parcial: falta el empaquetado en contenedores</w:t>
            </w:r>
          </w:p>
        </w:tc>
      </w:tr>
      <w:tr>
        <w:trPr>
          <w:cantSplit w:val="true"/>
        </w:trPr>
        <w:tc>
          <w:tcPr>
            <w:tcW w:type="dxa" w:w="2835"/>
            <w:shd w:val="clear" w:color="auto" w:fill="EEF3F6"/>
          </w:tcPr>
          <w:p>
            <w:pPr>
              <w:spacing w:before="40" w:after="40"/>
            </w:pPr>
            <w:r>
              <w:rPr>
                <w:b/>
                <w:sz w:val="17"/>
              </w:rPr>
              <w:t>RNF-FLE-005 Reemplazabilidad del modelo</w:t>
            </w:r>
          </w:p>
        </w:tc>
        <w:tc>
          <w:tcPr>
            <w:tcW w:type="dxa" w:w="4762"/>
            <w:shd w:val="clear" w:color="auto" w:fill="EEF3F6"/>
          </w:tcPr>
          <w:p>
            <w:pPr>
              <w:spacing w:before="40" w:after="40"/>
            </w:pPr>
            <w:r>
              <w:rPr>
                <w:sz w:val="17"/>
              </w:rPr>
              <w:t>Interfaz de modelo, registro único y selección congelada.</w:t>
            </w:r>
          </w:p>
        </w:tc>
        <w:tc>
          <w:tcPr>
            <w:tcW w:type="dxa" w:w="2438"/>
            <w:shd w:val="clear" w:color="auto" w:fill="EEF3F6"/>
          </w:tcPr>
          <w:p>
            <w:pPr>
              <w:spacing w:before="40" w:after="40"/>
            </w:pPr>
            <w:r>
              <w:rPr>
                <w:sz w:val="17"/>
              </w:rPr>
              <w:t>Atendido</w:t>
            </w:r>
          </w:p>
        </w:tc>
      </w:tr>
      <w:tr>
        <w:trPr>
          <w:cantSplit w:val="true"/>
        </w:trPr>
        <w:tc>
          <w:tcPr>
            <w:tcW w:type="dxa" w:w="2835"/>
          </w:tcPr>
          <w:p>
            <w:pPr>
              <w:spacing w:before="40" w:after="40"/>
            </w:pPr>
            <w:r>
              <w:rPr>
                <w:b/>
                <w:sz w:val="17"/>
              </w:rPr>
              <w:t>RNF-FLE-007 Portabilidad de rutas</w:t>
            </w:r>
          </w:p>
        </w:tc>
        <w:tc>
          <w:tcPr>
            <w:tcW w:type="dxa" w:w="4762"/>
          </w:tcPr>
          <w:p>
            <w:pPr>
              <w:spacing w:before="40" w:after="40"/>
            </w:pPr>
            <w:r>
              <w:rPr>
                <w:sz w:val="17"/>
              </w:rPr>
              <w:t>Rutas relativas al proyecto en código, informes y documentos.</w:t>
            </w:r>
          </w:p>
        </w:tc>
        <w:tc>
          <w:tcPr>
            <w:tcW w:type="dxa" w:w="2438"/>
          </w:tcPr>
          <w:p>
            <w:pPr>
              <w:spacing w:before="40" w:after="40"/>
            </w:pPr>
            <w:r>
              <w:rPr>
                <w:sz w:val="17"/>
              </w:rPr>
              <w:t>Atendido</w:t>
            </w:r>
          </w:p>
        </w:tc>
      </w:tr>
      <w:tr>
        <w:trPr>
          <w:cantSplit w:val="true"/>
        </w:trPr>
        <w:tc>
          <w:tcPr>
            <w:tcW w:type="dxa" w:w="2835"/>
            <w:shd w:val="clear" w:color="auto" w:fill="EEF3F6"/>
          </w:tcPr>
          <w:p>
            <w:pPr>
              <w:spacing w:before="40" w:after="40"/>
            </w:pPr>
            <w:r>
              <w:rPr>
                <w:b/>
                <w:sz w:val="17"/>
              </w:rPr>
              <w:t>RNF-FIA-002 Degradación controlada</w:t>
            </w:r>
          </w:p>
        </w:tc>
        <w:tc>
          <w:tcPr>
            <w:tcW w:type="dxa" w:w="4762"/>
            <w:shd w:val="clear" w:color="auto" w:fill="EEF3F6"/>
          </w:tcPr>
          <w:p>
            <w:pPr>
              <w:spacing w:before="40" w:after="40"/>
            </w:pPr>
            <w:r>
              <w:rPr>
                <w:rFonts w:ascii="Consolas" w:hAnsi="Consolas"/>
                <w:sz w:val="17"/>
              </w:rPr>
              <w:t>503</w:t>
            </w:r>
            <w:r>
              <w:rPr>
                <w:sz w:val="17"/>
              </w:rPr>
              <w:t xml:space="preserve"> con </w:t>
            </w:r>
            <w:r>
              <w:rPr>
                <w:rFonts w:ascii="Consolas" w:hAnsi="Consolas"/>
                <w:sz w:val="17"/>
              </w:rPr>
              <w:t>Retry-After</w:t>
            </w:r>
            <w:r>
              <w:rPr>
                <w:sz w:val="17"/>
              </w:rPr>
              <w:t>; recálculo en memoria si el pronóstico persistido no sirve.</w:t>
            </w:r>
          </w:p>
        </w:tc>
        <w:tc>
          <w:tcPr>
            <w:tcW w:type="dxa" w:w="2438"/>
            <w:shd w:val="clear" w:color="auto" w:fill="EEF3F6"/>
          </w:tcPr>
          <w:p>
            <w:pPr>
              <w:spacing w:before="40" w:after="40"/>
            </w:pPr>
            <w:r>
              <w:rPr>
                <w:sz w:val="17"/>
              </w:rPr>
              <w:t>Atendido</w:t>
            </w:r>
          </w:p>
        </w:tc>
      </w:tr>
      <w:tr>
        <w:trPr>
          <w:cantSplit w:val="true"/>
        </w:trPr>
        <w:tc>
          <w:tcPr>
            <w:tcW w:type="dxa" w:w="2835"/>
          </w:tcPr>
          <w:p>
            <w:pPr>
              <w:spacing w:before="40" w:after="40"/>
            </w:pPr>
            <w:r>
              <w:rPr>
                <w:b/>
                <w:sz w:val="17"/>
              </w:rPr>
              <w:t>RNF-FIA-003 Publicación atómica</w:t>
            </w:r>
          </w:p>
        </w:tc>
        <w:tc>
          <w:tcPr>
            <w:tcW w:type="dxa" w:w="4762"/>
          </w:tcPr>
          <w:p>
            <w:pPr>
              <w:spacing w:before="40" w:after="40"/>
            </w:pPr>
            <w:r>
              <w:rPr>
                <w:sz w:val="17"/>
              </w:rPr>
              <w:t>Escritura en temporal, validación y reemplazo de una sola vez.</w:t>
            </w:r>
          </w:p>
        </w:tc>
        <w:tc>
          <w:tcPr>
            <w:tcW w:type="dxa" w:w="2438"/>
          </w:tcPr>
          <w:p>
            <w:pPr>
              <w:spacing w:before="40" w:after="40"/>
            </w:pPr>
            <w:r>
              <w:rPr>
                <w:sz w:val="17"/>
              </w:rPr>
              <w:t>Atendido</w:t>
            </w:r>
          </w:p>
        </w:tc>
      </w:tr>
      <w:tr>
        <w:trPr>
          <w:cantSplit w:val="true"/>
        </w:trPr>
        <w:tc>
          <w:tcPr>
            <w:tcW w:type="dxa" w:w="2835"/>
            <w:shd w:val="clear" w:color="auto" w:fill="EEF3F6"/>
          </w:tcPr>
          <w:p>
            <w:pPr>
              <w:spacing w:before="40" w:after="40"/>
            </w:pPr>
            <w:r>
              <w:rPr>
                <w:b/>
                <w:sz w:val="17"/>
              </w:rPr>
              <w:t>RNF-FIA-005 Fallos de las fuentes</w:t>
            </w:r>
          </w:p>
        </w:tc>
        <w:tc>
          <w:tcPr>
            <w:tcW w:type="dxa" w:w="4762"/>
            <w:shd w:val="clear" w:color="auto" w:fill="EEF3F6"/>
          </w:tcPr>
          <w:p>
            <w:pPr>
              <w:spacing w:before="40" w:after="40"/>
            </w:pPr>
            <w:r>
              <w:rPr>
                <w:sz w:val="17"/>
              </w:rPr>
              <w:t>Un RAW válido nunca se reemplaza por una descarga fallida.</w:t>
            </w:r>
          </w:p>
        </w:tc>
        <w:tc>
          <w:tcPr>
            <w:tcW w:type="dxa" w:w="2438"/>
            <w:shd w:val="clear" w:color="auto" w:fill="EEF3F6"/>
          </w:tcPr>
          <w:p>
            <w:pPr>
              <w:spacing w:before="40" w:after="40"/>
            </w:pPr>
            <w:r>
              <w:rPr>
                <w:sz w:val="17"/>
              </w:rPr>
              <w:t>Atendido</w:t>
            </w:r>
          </w:p>
        </w:tc>
      </w:tr>
      <w:tr>
        <w:trPr>
          <w:cantSplit w:val="true"/>
        </w:trPr>
        <w:tc>
          <w:tcPr>
            <w:tcW w:type="dxa" w:w="2835"/>
          </w:tcPr>
          <w:p>
            <w:pPr>
              <w:spacing w:before="40" w:after="40"/>
            </w:pPr>
            <w:r>
              <w:rPr>
                <w:b/>
                <w:sz w:val="17"/>
              </w:rPr>
              <w:t>RNF-DAT-007 Trazabilidad</w:t>
            </w:r>
          </w:p>
        </w:tc>
        <w:tc>
          <w:tcPr>
            <w:tcW w:type="dxa" w:w="4762"/>
          </w:tcPr>
          <w:p>
            <w:pPr>
              <w:spacing w:before="40" w:after="40"/>
            </w:pPr>
            <w:r>
              <w:rPr>
                <w:sz w:val="17"/>
              </w:rPr>
              <w:t>Manifiesto de procedencia, metadatos del Parquet y manifiesto del pronóstico.</w:t>
            </w:r>
          </w:p>
        </w:tc>
        <w:tc>
          <w:tcPr>
            <w:tcW w:type="dxa" w:w="2438"/>
          </w:tcPr>
          <w:p>
            <w:pPr>
              <w:spacing w:before="40" w:after="40"/>
            </w:pPr>
            <w:r>
              <w:rPr>
                <w:sz w:val="17"/>
              </w:rPr>
              <w:t>Atendido</w:t>
            </w:r>
          </w:p>
        </w:tc>
      </w:tr>
      <w:tr>
        <w:trPr>
          <w:cantSplit w:val="true"/>
        </w:trPr>
        <w:tc>
          <w:tcPr>
            <w:tcW w:type="dxa" w:w="2835"/>
            <w:shd w:val="clear" w:color="auto" w:fill="EEF3F6"/>
          </w:tcPr>
          <w:p>
            <w:pPr>
              <w:spacing w:before="40" w:after="40"/>
            </w:pPr>
            <w:r>
              <w:rPr>
                <w:b/>
                <w:sz w:val="17"/>
              </w:rPr>
              <w:t>RNF-EDE-002 Latencia de consulta</w:t>
            </w:r>
          </w:p>
        </w:tc>
        <w:tc>
          <w:tcPr>
            <w:tcW w:type="dxa" w:w="4762"/>
            <w:shd w:val="clear" w:color="auto" w:fill="EEF3F6"/>
          </w:tcPr>
          <w:p>
            <w:pPr>
              <w:spacing w:before="40" w:after="40"/>
            </w:pPr>
            <w:r>
              <w:rPr>
                <w:sz w:val="17"/>
              </w:rPr>
              <w:t>Respuesta desde memoria, compresión y geometrías simplificadas.</w:t>
            </w:r>
          </w:p>
        </w:tc>
        <w:tc>
          <w:tcPr>
            <w:tcW w:type="dxa" w:w="2438"/>
            <w:shd w:val="clear" w:color="auto" w:fill="EEF3F6"/>
          </w:tcPr>
          <w:p>
            <w:pPr>
              <w:spacing w:before="40" w:after="40"/>
            </w:pPr>
            <w:r>
              <w:rPr>
                <w:sz w:val="17"/>
              </w:rPr>
              <w:t>Atendido en el diseño; pendiente de medición formal</w:t>
            </w:r>
          </w:p>
        </w:tc>
      </w:tr>
      <w:tr>
        <w:trPr>
          <w:cantSplit w:val="true"/>
        </w:trPr>
        <w:tc>
          <w:tcPr>
            <w:tcW w:type="dxa" w:w="2835"/>
          </w:tcPr>
          <w:p>
            <w:pPr>
              <w:spacing w:before="40" w:after="40"/>
            </w:pPr>
            <w:r>
              <w:rPr>
                <w:b/>
                <w:sz w:val="17"/>
              </w:rPr>
              <w:t>RNF-CMP-003 Interfaz estándar</w:t>
            </w:r>
          </w:p>
        </w:tc>
        <w:tc>
          <w:tcPr>
            <w:tcW w:type="dxa" w:w="4762"/>
          </w:tcPr>
          <w:p>
            <w:pPr>
              <w:spacing w:before="40" w:after="40"/>
            </w:pPr>
            <w:r>
              <w:rPr>
                <w:sz w:val="17"/>
              </w:rPr>
              <w:t>REST con JSON y especificación OpenAPI generada.</w:t>
            </w:r>
          </w:p>
        </w:tc>
        <w:tc>
          <w:tcPr>
            <w:tcW w:type="dxa" w:w="2438"/>
          </w:tcPr>
          <w:p>
            <w:pPr>
              <w:spacing w:before="40" w:after="40"/>
            </w:pPr>
            <w:r>
              <w:rPr>
                <w:sz w:val="17"/>
              </w:rPr>
              <w:t>Atendido</w:t>
            </w:r>
          </w:p>
        </w:tc>
      </w:tr>
      <w:tr>
        <w:trPr>
          <w:cantSplit w:val="true"/>
        </w:trPr>
        <w:tc>
          <w:tcPr>
            <w:tcW w:type="dxa" w:w="2835"/>
            <w:shd w:val="clear" w:color="auto" w:fill="EEF3F6"/>
          </w:tcPr>
          <w:p>
            <w:pPr>
              <w:spacing w:before="40" w:after="40"/>
            </w:pPr>
            <w:r>
              <w:rPr>
                <w:b/>
                <w:sz w:val="17"/>
              </w:rPr>
              <w:t>RNF-SEG-001 Sin datos personales</w:t>
            </w:r>
          </w:p>
        </w:tc>
        <w:tc>
          <w:tcPr>
            <w:tcW w:type="dxa" w:w="4762"/>
            <w:shd w:val="clear" w:color="auto" w:fill="EEF3F6"/>
          </w:tcPr>
          <w:p>
            <w:pPr>
              <w:spacing w:before="40" w:after="40"/>
            </w:pPr>
            <w:r>
              <w:rPr>
                <w:sz w:val="17"/>
              </w:rPr>
              <w:t>Solo fuentes agregadas o disociadas; ningún identificador de persona en el modelo.</w:t>
            </w:r>
          </w:p>
        </w:tc>
        <w:tc>
          <w:tcPr>
            <w:tcW w:type="dxa" w:w="2438"/>
            <w:shd w:val="clear" w:color="auto" w:fill="EEF3F6"/>
          </w:tcPr>
          <w:p>
            <w:pPr>
              <w:spacing w:before="40" w:after="40"/>
            </w:pPr>
            <w:r>
              <w:rPr>
                <w:sz w:val="17"/>
              </w:rPr>
              <w:t>Atendido</w:t>
            </w:r>
          </w:p>
        </w:tc>
      </w:tr>
      <w:tr>
        <w:trPr>
          <w:cantSplit w:val="true"/>
        </w:trPr>
        <w:tc>
          <w:tcPr>
            <w:tcW w:type="dxa" w:w="2835"/>
          </w:tcPr>
          <w:p>
            <w:pPr>
              <w:spacing w:before="40" w:after="40"/>
            </w:pPr>
            <w:r>
              <w:rPr>
                <w:b/>
                <w:sz w:val="17"/>
              </w:rPr>
              <w:t>RNF-SEG-002 Cifrado del canal</w:t>
            </w:r>
          </w:p>
        </w:tc>
        <w:tc>
          <w:tcPr>
            <w:tcW w:type="dxa" w:w="4762"/>
          </w:tcPr>
          <w:p>
            <w:pPr>
              <w:spacing w:before="40" w:after="40"/>
            </w:pPr>
            <w:r>
              <w:rPr>
                <w:sz w:val="17"/>
              </w:rPr>
              <w:t>En desarrollo local se usa HTTP; HTTPS depende del despliegue.</w:t>
            </w:r>
          </w:p>
        </w:tc>
        <w:tc>
          <w:tcPr>
            <w:tcW w:type="dxa" w:w="2438"/>
          </w:tcPr>
          <w:p>
            <w:pPr>
              <w:spacing w:before="40" w:after="40"/>
            </w:pPr>
            <w:r>
              <w:rPr>
                <w:sz w:val="17"/>
              </w:rPr>
              <w:t>Brecha hasta desplegar</w:t>
            </w:r>
          </w:p>
        </w:tc>
      </w:tr>
      <w:tr>
        <w:trPr>
          <w:cantSplit w:val="true"/>
        </w:trPr>
        <w:tc>
          <w:tcPr>
            <w:tcW w:type="dxa" w:w="2835"/>
            <w:shd w:val="clear" w:color="auto" w:fill="EEF3F6"/>
          </w:tcPr>
          <w:p>
            <w:pPr>
              <w:spacing w:before="40" w:after="40"/>
            </w:pPr>
            <w:r>
              <w:rPr>
                <w:b/>
                <w:sz w:val="17"/>
              </w:rPr>
              <w:t>RNF-SEG-004 Gestión de secretos</w:t>
            </w:r>
          </w:p>
        </w:tc>
        <w:tc>
          <w:tcPr>
            <w:tcW w:type="dxa" w:w="4762"/>
            <w:shd w:val="clear" w:color="auto" w:fill="EEF3F6"/>
          </w:tcPr>
          <w:p>
            <w:pPr>
              <w:spacing w:before="40" w:after="40"/>
            </w:pPr>
            <w:r>
              <w:rPr>
                <w:sz w:val="17"/>
              </w:rPr>
              <w:t>Variables de entorno; plantilla sin valores; archivo local ignorado por Git.</w:t>
            </w:r>
          </w:p>
        </w:tc>
        <w:tc>
          <w:tcPr>
            <w:tcW w:type="dxa" w:w="2438"/>
            <w:shd w:val="clear" w:color="auto" w:fill="EEF3F6"/>
          </w:tcPr>
          <w:p>
            <w:pPr>
              <w:spacing w:before="40" w:after="40"/>
            </w:pPr>
            <w:r>
              <w:rPr>
                <w:sz w:val="17"/>
              </w:rPr>
              <w:t>Atendido</w:t>
            </w:r>
          </w:p>
        </w:tc>
      </w:tr>
      <w:tr>
        <w:trPr>
          <w:cantSplit w:val="true"/>
        </w:trPr>
        <w:tc>
          <w:tcPr>
            <w:tcW w:type="dxa" w:w="2835"/>
          </w:tcPr>
          <w:p>
            <w:pPr>
              <w:spacing w:before="40" w:after="40"/>
            </w:pPr>
            <w:r>
              <w:rPr>
                <w:b/>
                <w:sz w:val="17"/>
              </w:rPr>
              <w:t>RNF-USO-001 Incertidumbre visible</w:t>
            </w:r>
          </w:p>
        </w:tc>
        <w:tc>
          <w:tcPr>
            <w:tcW w:type="dxa" w:w="4762"/>
          </w:tcPr>
          <w:p>
            <w:pPr>
              <w:spacing w:before="40" w:after="40"/>
            </w:pPr>
            <w:r>
              <w:rPr>
                <w:sz w:val="17"/>
              </w:rPr>
              <w:t>El contrato no permite entregar un pronóstico sin su intervalo.</w:t>
            </w:r>
          </w:p>
        </w:tc>
        <w:tc>
          <w:tcPr>
            <w:tcW w:type="dxa" w:w="2438"/>
          </w:tcPr>
          <w:p>
            <w:pPr>
              <w:spacing w:before="40" w:after="40"/>
            </w:pPr>
            <w:r>
              <w:rPr>
                <w:sz w:val="17"/>
              </w:rPr>
              <w:t>Atendido</w:t>
            </w:r>
          </w:p>
        </w:tc>
      </w:tr>
      <w:tr>
        <w:trPr>
          <w:cantSplit w:val="true"/>
        </w:trPr>
        <w:tc>
          <w:tcPr>
            <w:tcW w:type="dxa" w:w="2835"/>
            <w:shd w:val="clear" w:color="auto" w:fill="EEF3F6"/>
          </w:tcPr>
          <w:p>
            <w:pPr>
              <w:spacing w:before="40" w:after="40"/>
            </w:pPr>
            <w:r>
              <w:rPr>
                <w:b/>
                <w:sz w:val="17"/>
              </w:rPr>
              <w:t>RNF-USO-004 Interpretación indebida</w:t>
            </w:r>
          </w:p>
        </w:tc>
        <w:tc>
          <w:tcPr>
            <w:tcW w:type="dxa" w:w="4762"/>
            <w:shd w:val="clear" w:color="auto" w:fill="EEF3F6"/>
          </w:tcPr>
          <w:p>
            <w:pPr>
              <w:spacing w:before="40" w:after="40"/>
            </w:pPr>
            <w:r>
              <w:rPr>
                <w:sz w:val="17"/>
              </w:rPr>
              <w:t xml:space="preserve">Advertencias servidas por </w:t>
            </w:r>
            <w:r>
              <w:rPr>
                <w:rFonts w:ascii="Consolas" w:hAnsi="Consolas"/>
                <w:sz w:val="17"/>
              </w:rPr>
              <w:t>/meta</w:t>
            </w:r>
            <w:r>
              <w:rPr>
                <w:sz w:val="17"/>
              </w:rPr>
              <w:t xml:space="preserve"> y mostradas por la interfaz.</w:t>
            </w:r>
          </w:p>
        </w:tc>
        <w:tc>
          <w:tcPr>
            <w:tcW w:type="dxa" w:w="2438"/>
            <w:shd w:val="clear" w:color="auto" w:fill="EEF3F6"/>
          </w:tcPr>
          <w:p>
            <w:pPr>
              <w:spacing w:before="40" w:after="40"/>
            </w:pPr>
            <w:r>
              <w:rPr>
                <w:sz w:val="17"/>
              </w:rPr>
              <w:t>Atendido</w:t>
            </w:r>
          </w:p>
        </w:tc>
      </w:tr>
    </w:tbl>
    <w:p>
      <w:pPr>
        <w:spacing w:after="80"/>
      </w:pPr>
    </w:p>
    <w:p>
      <w:pPr>
        <w:pStyle w:val="Heading1"/>
      </w:pPr>
      <w:r>
        <w:t>12. Restricciones técnicas, brechas y deuda</w:t>
      </w:r>
    </w:p>
    <w:p>
      <w:pPr>
        <w:pStyle w:val="Heading2"/>
      </w:pPr>
      <w:r>
        <w:t>12.1 Restricciones técnicas y su cumplimiento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964"/>
            <w:shd w:val="clear" w:color="auto" w:fill="0B4660"/>
          </w:tcPr>
          <w:p>
            <w:pPr>
              <w:keepNext/>
              <w:spacing w:before="40" w:after="40"/>
            </w:pPr>
            <w:r>
              <w:rPr>
                <w:b/>
                <w:color w:val="FFFFFF"/>
                <w:sz w:val="18"/>
              </w:rPr>
              <w:t>ID</w:t>
            </w:r>
          </w:p>
        </w:tc>
        <w:tc>
          <w:tcPr>
            <w:tcW w:type="dxa" w:w="4309"/>
            <w:shd w:val="clear" w:color="auto" w:fill="0B4660"/>
          </w:tcPr>
          <w:p>
            <w:pPr>
              <w:keepNext/>
              <w:spacing w:before="40" w:after="40"/>
            </w:pPr>
            <w:r>
              <w:rPr>
                <w:b/>
                <w:color w:val="FFFFFF"/>
                <w:sz w:val="18"/>
              </w:rPr>
              <w:t>Restricción</w:t>
            </w:r>
          </w:p>
        </w:tc>
        <w:tc>
          <w:tcPr>
            <w:tcW w:type="dxa" w:w="4762"/>
            <w:shd w:val="clear" w:color="auto" w:fill="0B4660"/>
          </w:tcPr>
          <w:p>
            <w:pPr>
              <w:keepNext/>
              <w:spacing w:before="40" w:after="40"/>
            </w:pPr>
            <w:r>
              <w:rPr>
                <w:b/>
                <w:color w:val="FFFFFF"/>
                <w:sz w:val="18"/>
              </w:rPr>
              <w:t>Cumplimiento vigente</w:t>
            </w:r>
          </w:p>
        </w:tc>
      </w:tr>
      <w:tr>
        <w:trPr>
          <w:cantSplit w:val="true"/>
        </w:trPr>
        <w:tc>
          <w:tcPr>
            <w:tcW w:type="dxa" w:w="964"/>
          </w:tcPr>
          <w:p>
            <w:pPr>
              <w:spacing w:before="40" w:after="40"/>
            </w:pPr>
            <w:r>
              <w:rPr>
                <w:b/>
                <w:sz w:val="18"/>
              </w:rPr>
              <w:t>RT-01</w:t>
            </w:r>
          </w:p>
        </w:tc>
        <w:tc>
          <w:tcPr>
            <w:tcW w:type="dxa" w:w="4309"/>
          </w:tcPr>
          <w:p>
            <w:pPr>
              <w:spacing w:before="40" w:after="40"/>
            </w:pPr>
            <w:r>
              <w:rPr>
                <w:sz w:val="18"/>
              </w:rPr>
              <w:t>Backend en Python con FastAPI; datos con pandas y PyArrow.</w:t>
            </w:r>
          </w:p>
        </w:tc>
        <w:tc>
          <w:tcPr>
            <w:tcW w:type="dxa" w:w="4762"/>
          </w:tcPr>
          <w:p>
            <w:pPr>
              <w:spacing w:before="40" w:after="40"/>
            </w:pPr>
            <w:r>
              <w:rPr>
                <w:sz w:val="18"/>
              </w:rPr>
              <w:t>Cumplida.</w:t>
            </w:r>
          </w:p>
        </w:tc>
      </w:tr>
      <w:tr>
        <w:trPr>
          <w:cantSplit w:val="true"/>
        </w:trPr>
        <w:tc>
          <w:tcPr>
            <w:tcW w:type="dxa" w:w="964"/>
            <w:shd w:val="clear" w:color="auto" w:fill="EEF3F6"/>
          </w:tcPr>
          <w:p>
            <w:pPr>
              <w:spacing w:before="40" w:after="40"/>
            </w:pPr>
            <w:r>
              <w:rPr>
                <w:b/>
                <w:sz w:val="18"/>
              </w:rPr>
              <w:t>RT-02</w:t>
            </w:r>
          </w:p>
        </w:tc>
        <w:tc>
          <w:tcPr>
            <w:tcW w:type="dxa" w:w="4309"/>
            <w:shd w:val="clear" w:color="auto" w:fill="EEF3F6"/>
          </w:tcPr>
          <w:p>
            <w:pPr>
              <w:spacing w:before="40" w:after="40"/>
            </w:pPr>
            <w:r>
              <w:rPr>
                <w:sz w:val="18"/>
              </w:rPr>
              <w:t>Frontend en React con Tailwind CSS, Recharts y React Leaflet.</w:t>
            </w:r>
          </w:p>
        </w:tc>
        <w:tc>
          <w:tcPr>
            <w:tcW w:type="dxa" w:w="4762"/>
            <w:shd w:val="clear" w:color="auto" w:fill="EEF3F6"/>
          </w:tcPr>
          <w:p>
            <w:pPr>
              <w:spacing w:before="40" w:after="40"/>
            </w:pPr>
            <w:r>
              <w:rPr>
                <w:sz w:val="18"/>
              </w:rPr>
              <w:t>Cumplida.</w:t>
            </w:r>
          </w:p>
        </w:tc>
      </w:tr>
      <w:tr>
        <w:trPr>
          <w:cantSplit w:val="true"/>
        </w:trPr>
        <w:tc>
          <w:tcPr>
            <w:tcW w:type="dxa" w:w="964"/>
          </w:tcPr>
          <w:p>
            <w:pPr>
              <w:spacing w:before="40" w:after="40"/>
            </w:pPr>
            <w:r>
              <w:rPr>
                <w:b/>
                <w:sz w:val="18"/>
              </w:rPr>
              <w:t>RT-03</w:t>
            </w:r>
          </w:p>
        </w:tc>
        <w:tc>
          <w:tcPr>
            <w:tcW w:type="dxa" w:w="4309"/>
          </w:tcPr>
          <w:p>
            <w:pPr>
              <w:spacing w:before="40" w:after="40"/>
            </w:pPr>
            <w:r>
              <w:rPr>
                <w:sz w:val="18"/>
              </w:rPr>
              <w:t>Persistencia en PostgreSQL con PostGIS.</w:t>
            </w:r>
          </w:p>
        </w:tc>
        <w:tc>
          <w:tcPr>
            <w:tcW w:type="dxa" w:w="4762"/>
          </w:tcPr>
          <w:p>
            <w:pPr>
              <w:spacing w:before="40" w:after="40"/>
            </w:pPr>
            <w:r>
              <w:rPr>
                <w:sz w:val="18"/>
              </w:rPr>
              <w:t>Parcial: el diseño físico existe y está sincronizado; el sistema no lo usa aún (ADR-02).</w:t>
            </w:r>
          </w:p>
        </w:tc>
      </w:tr>
      <w:tr>
        <w:trPr>
          <w:cantSplit w:val="true"/>
        </w:trPr>
        <w:tc>
          <w:tcPr>
            <w:tcW w:type="dxa" w:w="964"/>
            <w:shd w:val="clear" w:color="auto" w:fill="EEF3F6"/>
          </w:tcPr>
          <w:p>
            <w:pPr>
              <w:spacing w:before="40" w:after="40"/>
            </w:pPr>
            <w:r>
              <w:rPr>
                <w:b/>
                <w:sz w:val="18"/>
              </w:rPr>
              <w:t>RT-04</w:t>
            </w:r>
          </w:p>
        </w:tc>
        <w:tc>
          <w:tcPr>
            <w:tcW w:type="dxa" w:w="4309"/>
            <w:shd w:val="clear" w:color="auto" w:fill="EEF3F6"/>
          </w:tcPr>
          <w:p>
            <w:pPr>
              <w:spacing w:before="40" w:after="40"/>
            </w:pPr>
            <w:r>
              <w:rPr>
                <w:sz w:val="18"/>
              </w:rPr>
              <w:t>Empaquetado y despliegue con Docker Compose.</w:t>
            </w:r>
          </w:p>
        </w:tc>
        <w:tc>
          <w:tcPr>
            <w:tcW w:type="dxa" w:w="4762"/>
            <w:shd w:val="clear" w:color="auto" w:fill="EEF3F6"/>
          </w:tcPr>
          <w:p>
            <w:pPr>
              <w:spacing w:before="40" w:after="40"/>
            </w:pPr>
            <w:r>
              <w:rPr>
                <w:sz w:val="18"/>
              </w:rPr>
              <w:t>No cumplida: no hay archivos de contenedor ni de composición.</w:t>
            </w:r>
          </w:p>
        </w:tc>
      </w:tr>
      <w:tr>
        <w:trPr>
          <w:cantSplit w:val="true"/>
        </w:trPr>
        <w:tc>
          <w:tcPr>
            <w:tcW w:type="dxa" w:w="964"/>
          </w:tcPr>
          <w:p>
            <w:pPr>
              <w:spacing w:before="40" w:after="40"/>
            </w:pPr>
            <w:r>
              <w:rPr>
                <w:b/>
                <w:sz w:val="18"/>
              </w:rPr>
              <w:t>RT-05</w:t>
            </w:r>
          </w:p>
        </w:tc>
        <w:tc>
          <w:tcPr>
            <w:tcW w:type="dxa" w:w="4309"/>
          </w:tcPr>
          <w:p>
            <w:pPr>
              <w:spacing w:before="40" w:after="40"/>
            </w:pPr>
            <w:r>
              <w:rPr>
                <w:sz w:val="18"/>
              </w:rPr>
              <w:t>Control de versiones en Git/GitHub y gestión en GitHub Projects.</w:t>
            </w:r>
          </w:p>
        </w:tc>
        <w:tc>
          <w:tcPr>
            <w:tcW w:type="dxa" w:w="4762"/>
          </w:tcPr>
          <w:p>
            <w:pPr>
              <w:spacing w:before="40" w:after="40"/>
            </w:pPr>
            <w:r>
              <w:rPr>
                <w:sz w:val="18"/>
              </w:rPr>
              <w:t>Cumplida.</w:t>
            </w:r>
          </w:p>
        </w:tc>
      </w:tr>
      <w:tr>
        <w:trPr>
          <w:cantSplit w:val="true"/>
        </w:trPr>
        <w:tc>
          <w:tcPr>
            <w:tcW w:type="dxa" w:w="964"/>
            <w:shd w:val="clear" w:color="auto" w:fill="EEF3F6"/>
          </w:tcPr>
          <w:p>
            <w:pPr>
              <w:spacing w:before="40" w:after="40"/>
            </w:pPr>
            <w:r>
              <w:rPr>
                <w:b/>
                <w:sz w:val="18"/>
              </w:rPr>
              <w:t>RT-06</w:t>
            </w:r>
          </w:p>
        </w:tc>
        <w:tc>
          <w:tcPr>
            <w:tcW w:type="dxa" w:w="4309"/>
            <w:shd w:val="clear" w:color="auto" w:fill="EEF3F6"/>
          </w:tcPr>
          <w:p>
            <w:pPr>
              <w:spacing w:before="40" w:after="40"/>
            </w:pPr>
            <w:r>
              <w:rPr>
                <w:sz w:val="18"/>
              </w:rPr>
              <w:t>Pruebas automatizadas con pytest.</w:t>
            </w:r>
          </w:p>
        </w:tc>
        <w:tc>
          <w:tcPr>
            <w:tcW w:type="dxa" w:w="4762"/>
            <w:shd w:val="clear" w:color="auto" w:fill="EEF3F6"/>
          </w:tcPr>
          <w:p>
            <w:pPr>
              <w:spacing w:before="40" w:after="40"/>
            </w:pPr>
            <w:r>
              <w:rPr>
                <w:sz w:val="18"/>
              </w:rPr>
              <w:t>Cumplida.</w:t>
            </w:r>
          </w:p>
        </w:tc>
      </w:tr>
      <w:tr>
        <w:trPr>
          <w:cantSplit w:val="true"/>
        </w:trPr>
        <w:tc>
          <w:tcPr>
            <w:tcW w:type="dxa" w:w="964"/>
          </w:tcPr>
          <w:p>
            <w:pPr>
              <w:spacing w:before="40" w:after="40"/>
            </w:pPr>
            <w:r>
              <w:rPr>
                <w:b/>
                <w:sz w:val="18"/>
              </w:rPr>
              <w:t>RT-07</w:t>
            </w:r>
          </w:p>
        </w:tc>
        <w:tc>
          <w:tcPr>
            <w:tcW w:type="dxa" w:w="4309"/>
          </w:tcPr>
          <w:p>
            <w:pPr>
              <w:spacing w:before="40" w:after="40"/>
            </w:pPr>
            <w:r>
              <w:rPr>
                <w:sz w:val="18"/>
              </w:rPr>
              <w:t xml:space="preserve">Dependencias explícitas y justificadas en </w:t>
            </w:r>
            <w:r>
              <w:rPr>
                <w:rFonts w:ascii="Consolas" w:hAnsi="Consolas"/>
                <w:sz w:val="18"/>
              </w:rPr>
              <w:t>requirements.txt</w:t>
            </w:r>
            <w:r>
              <w:rPr>
                <w:sz w:val="18"/>
              </w:rPr>
              <w:t>.</w:t>
            </w:r>
          </w:p>
        </w:tc>
        <w:tc>
          <w:tcPr>
            <w:tcW w:type="dxa" w:w="4762"/>
          </w:tcPr>
          <w:p>
            <w:pPr>
              <w:spacing w:before="40" w:after="40"/>
            </w:pPr>
            <w:r>
              <w:rPr>
                <w:sz w:val="18"/>
              </w:rPr>
              <w:t>Cumplida.</w:t>
            </w:r>
          </w:p>
        </w:tc>
      </w:tr>
    </w:tbl>
    <w:p>
      <w:pPr>
        <w:spacing w:after="80"/>
      </w:pPr>
    </w:p>
    <w:p>
      <w:pPr>
        <w:pStyle w:val="Heading2"/>
      </w:pPr>
      <w:r>
        <w:t>12.2 Restricciones derivadas de los datos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964"/>
            <w:shd w:val="clear" w:color="auto" w:fill="0B4660"/>
          </w:tcPr>
          <w:p>
            <w:pPr>
              <w:keepNext/>
              <w:spacing w:before="40" w:after="40"/>
            </w:pPr>
            <w:r>
              <w:rPr>
                <w:b/>
                <w:color w:val="FFFFFF"/>
                <w:sz w:val="18"/>
              </w:rPr>
              <w:t>ID</w:t>
            </w:r>
          </w:p>
        </w:tc>
        <w:tc>
          <w:tcPr>
            <w:tcW w:type="dxa" w:w="3969"/>
            <w:shd w:val="clear" w:color="auto" w:fill="0B4660"/>
          </w:tcPr>
          <w:p>
            <w:pPr>
              <w:keepNext/>
              <w:spacing w:before="40" w:after="40"/>
            </w:pPr>
            <w:r>
              <w:rPr>
                <w:b/>
                <w:color w:val="FFFFFF"/>
                <w:sz w:val="18"/>
              </w:rPr>
              <w:t>Restricción</w:t>
            </w:r>
          </w:p>
        </w:tc>
        <w:tc>
          <w:tcPr>
            <w:tcW w:type="dxa" w:w="5102"/>
            <w:shd w:val="clear" w:color="auto" w:fill="0B4660"/>
          </w:tcPr>
          <w:p>
            <w:pPr>
              <w:keepNext/>
              <w:spacing w:before="40" w:after="40"/>
            </w:pPr>
            <w:r>
              <w:rPr>
                <w:b/>
                <w:color w:val="FFFFFF"/>
                <w:sz w:val="18"/>
              </w:rPr>
              <w:t>Efecto sobre la arquitectura</w:t>
            </w:r>
          </w:p>
        </w:tc>
      </w:tr>
      <w:tr>
        <w:trPr>
          <w:cantSplit w:val="true"/>
        </w:trPr>
        <w:tc>
          <w:tcPr>
            <w:tcW w:type="dxa" w:w="964"/>
          </w:tcPr>
          <w:p>
            <w:pPr>
              <w:spacing w:before="40" w:after="40"/>
            </w:pPr>
            <w:r>
              <w:rPr>
                <w:b/>
                <w:sz w:val="18"/>
              </w:rPr>
              <w:t>RD-01</w:t>
            </w:r>
          </w:p>
        </w:tc>
        <w:tc>
          <w:tcPr>
            <w:tcW w:type="dxa" w:w="3969"/>
          </w:tcPr>
          <w:p>
            <w:pPr>
              <w:spacing w:before="40" w:after="40"/>
            </w:pPr>
            <w:r>
              <w:rPr>
                <w:sz w:val="18"/>
              </w:rPr>
              <w:t>La serie de salud mental es comparable desde 2021.</w:t>
            </w:r>
          </w:p>
        </w:tc>
        <w:tc>
          <w:tcPr>
            <w:tcW w:type="dxa" w:w="5102"/>
          </w:tcPr>
          <w:p>
            <w:pPr>
              <w:spacing w:before="40" w:after="40"/>
            </w:pPr>
            <w:r>
              <w:rPr>
                <w:sz w:val="18"/>
              </w:rPr>
              <w:t>El modelo entrena desde 2021; 2020 se excluye por regla, no por un filtro oculto.</w:t>
            </w:r>
          </w:p>
        </w:tc>
      </w:tr>
      <w:tr>
        <w:trPr>
          <w:cantSplit w:val="true"/>
        </w:trPr>
        <w:tc>
          <w:tcPr>
            <w:tcW w:type="dxa" w:w="964"/>
            <w:shd w:val="clear" w:color="auto" w:fill="EEF3F6"/>
          </w:tcPr>
          <w:p>
            <w:pPr>
              <w:spacing w:before="40" w:after="40"/>
            </w:pPr>
            <w:r>
              <w:rPr>
                <w:b/>
                <w:sz w:val="18"/>
              </w:rPr>
              <w:t>RD-02</w:t>
            </w:r>
          </w:p>
        </w:tc>
        <w:tc>
          <w:tcPr>
            <w:tcW w:type="dxa" w:w="3969"/>
            <w:shd w:val="clear" w:color="auto" w:fill="EEF3F6"/>
          </w:tcPr>
          <w:p>
            <w:pPr>
              <w:spacing w:before="40" w:after="40"/>
            </w:pPr>
            <w:r>
              <w:rPr>
                <w:sz w:val="18"/>
              </w:rPr>
              <w:t>Urgencias son recuentos agregados, no registros individuales.</w:t>
            </w:r>
          </w:p>
        </w:tc>
        <w:tc>
          <w:tcPr>
            <w:tcW w:type="dxa" w:w="5102"/>
            <w:shd w:val="clear" w:color="auto" w:fill="EEF3F6"/>
          </w:tcPr>
          <w:p>
            <w:pPr>
              <w:spacing w:before="40" w:after="40"/>
            </w:pPr>
            <w:r>
              <w:rPr>
                <w:sz w:val="18"/>
              </w:rPr>
              <w:t>El target es un conteo de eventos; no hay entidad «paciente» en el modelo.</w:t>
            </w:r>
          </w:p>
        </w:tc>
      </w:tr>
      <w:tr>
        <w:trPr>
          <w:cantSplit w:val="true"/>
        </w:trPr>
        <w:tc>
          <w:tcPr>
            <w:tcW w:type="dxa" w:w="964"/>
          </w:tcPr>
          <w:p>
            <w:pPr>
              <w:spacing w:before="40" w:after="40"/>
            </w:pPr>
            <w:r>
              <w:rPr>
                <w:b/>
                <w:sz w:val="18"/>
              </w:rPr>
              <w:t>RD-03</w:t>
            </w:r>
          </w:p>
        </w:tc>
        <w:tc>
          <w:tcPr>
            <w:tcW w:type="dxa" w:w="3969"/>
          </w:tcPr>
          <w:p>
            <w:pPr>
              <w:spacing w:before="40" w:after="40"/>
            </w:pPr>
            <w:r>
              <w:rPr>
                <w:sz w:val="18"/>
              </w:rPr>
              <w:t>Egresos no incluye el código de establecimiento.</w:t>
            </w:r>
          </w:p>
        </w:tc>
        <w:tc>
          <w:tcPr>
            <w:tcW w:type="dxa" w:w="5102"/>
          </w:tcPr>
          <w:p>
            <w:pPr>
              <w:spacing w:before="40" w:after="40"/>
            </w:pPr>
            <w:r>
              <w:rPr>
                <w:sz w:val="18"/>
              </w:rPr>
              <w:t>No hay relación entre Egresos y establecimientos; su territorio es el de residencia.</w:t>
            </w:r>
          </w:p>
        </w:tc>
      </w:tr>
      <w:tr>
        <w:trPr>
          <w:cantSplit w:val="true"/>
        </w:trPr>
        <w:tc>
          <w:tcPr>
            <w:tcW w:type="dxa" w:w="964"/>
            <w:shd w:val="clear" w:color="auto" w:fill="EEF3F6"/>
          </w:tcPr>
          <w:p>
            <w:pPr>
              <w:spacing w:before="40" w:after="40"/>
            </w:pPr>
            <w:r>
              <w:rPr>
                <w:b/>
                <w:sz w:val="18"/>
              </w:rPr>
              <w:t>RD-04</w:t>
            </w:r>
          </w:p>
        </w:tc>
        <w:tc>
          <w:tcPr>
            <w:tcW w:type="dxa" w:w="3969"/>
            <w:shd w:val="clear" w:color="auto" w:fill="EEF3F6"/>
          </w:tcPr>
          <w:p>
            <w:pPr>
              <w:spacing w:before="40" w:after="40"/>
            </w:pPr>
            <w:r>
              <w:rPr>
                <w:sz w:val="18"/>
              </w:rPr>
              <w:t>Parte del maestro de establecimientos carece de coordenadas.</w:t>
            </w:r>
          </w:p>
        </w:tc>
        <w:tc>
          <w:tcPr>
            <w:tcW w:type="dxa" w:w="5102"/>
            <w:shd w:val="clear" w:color="auto" w:fill="EEF3F6"/>
          </w:tcPr>
          <w:p>
            <w:pPr>
              <w:spacing w:before="40" w:after="40"/>
            </w:pPr>
            <w:r>
              <w:rPr>
                <w:sz w:val="18"/>
              </w:rPr>
              <w:t>Esos establecimientos se excluyen del cálculo espacial y se informan; no se les estima ubicación.</w:t>
            </w:r>
          </w:p>
        </w:tc>
      </w:tr>
      <w:tr>
        <w:trPr>
          <w:cantSplit w:val="true"/>
        </w:trPr>
        <w:tc>
          <w:tcPr>
            <w:tcW w:type="dxa" w:w="964"/>
          </w:tcPr>
          <w:p>
            <w:pPr>
              <w:spacing w:before="40" w:after="40"/>
            </w:pPr>
            <w:r>
              <w:rPr>
                <w:b/>
                <w:sz w:val="18"/>
              </w:rPr>
              <w:t>—</w:t>
            </w:r>
          </w:p>
        </w:tc>
        <w:tc>
          <w:tcPr>
            <w:tcW w:type="dxa" w:w="3969"/>
          </w:tcPr>
          <w:p>
            <w:pPr>
              <w:spacing w:before="40" w:after="40"/>
            </w:pPr>
            <w:r>
              <w:rPr>
                <w:sz w:val="18"/>
              </w:rPr>
              <w:t>Cada atención se registra en la comuna del establecimiento, no en la de residencia.</w:t>
            </w:r>
          </w:p>
        </w:tc>
        <w:tc>
          <w:tcPr>
            <w:tcW w:type="dxa" w:w="5102"/>
          </w:tcPr>
          <w:p>
            <w:pPr>
              <w:spacing w:before="40" w:after="40"/>
            </w:pPr>
            <w:r>
              <w:rPr>
                <w:sz w:val="18"/>
              </w:rPr>
              <w:t>El mapa comunal muestra dónde se atiende, no dónde vive la demanda; la interfaz lo advierte.</w:t>
            </w:r>
          </w:p>
        </w:tc>
      </w:tr>
    </w:tbl>
    <w:p>
      <w:pPr>
        <w:spacing w:after="80"/>
      </w:pPr>
    </w:p>
    <w:p>
      <w:pPr>
        <w:pStyle w:val="Heading2"/>
      </w:pPr>
      <w:r>
        <w:t>12.3 Deuda técnica y riesgos de arquitectura</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850"/>
            <w:shd w:val="clear" w:color="auto" w:fill="0B4660"/>
          </w:tcPr>
          <w:p>
            <w:pPr>
              <w:keepNext/>
              <w:spacing w:before="40" w:after="40"/>
            </w:pPr>
            <w:r>
              <w:rPr>
                <w:b/>
                <w:color w:val="FFFFFF"/>
                <w:sz w:val="17"/>
              </w:rPr>
              <w:t>ID</w:t>
            </w:r>
          </w:p>
        </w:tc>
        <w:tc>
          <w:tcPr>
            <w:tcW w:type="dxa" w:w="3061"/>
            <w:shd w:val="clear" w:color="auto" w:fill="0B4660"/>
          </w:tcPr>
          <w:p>
            <w:pPr>
              <w:keepNext/>
              <w:spacing w:before="40" w:after="40"/>
            </w:pPr>
            <w:r>
              <w:rPr>
                <w:b/>
                <w:color w:val="FFFFFF"/>
                <w:sz w:val="17"/>
              </w:rPr>
              <w:t>Situación</w:t>
            </w:r>
          </w:p>
        </w:tc>
        <w:tc>
          <w:tcPr>
            <w:tcW w:type="dxa" w:w="2948"/>
            <w:shd w:val="clear" w:color="auto" w:fill="0B4660"/>
          </w:tcPr>
          <w:p>
            <w:pPr>
              <w:keepNext/>
              <w:spacing w:before="40" w:after="40"/>
            </w:pPr>
            <w:r>
              <w:rPr>
                <w:b/>
                <w:color w:val="FFFFFF"/>
                <w:sz w:val="17"/>
              </w:rPr>
              <w:t>Riesgo</w:t>
            </w:r>
          </w:p>
        </w:tc>
        <w:tc>
          <w:tcPr>
            <w:tcW w:type="dxa" w:w="3175"/>
            <w:shd w:val="clear" w:color="auto" w:fill="0B4660"/>
          </w:tcPr>
          <w:p>
            <w:pPr>
              <w:keepNext/>
              <w:spacing w:before="40" w:after="40"/>
            </w:pPr>
            <w:r>
              <w:rPr>
                <w:b/>
                <w:color w:val="FFFFFF"/>
                <w:sz w:val="17"/>
              </w:rPr>
              <w:t>Tratamiento propuesto</w:t>
            </w:r>
          </w:p>
        </w:tc>
      </w:tr>
      <w:tr>
        <w:trPr>
          <w:cantSplit w:val="true"/>
        </w:trPr>
        <w:tc>
          <w:tcPr>
            <w:tcW w:type="dxa" w:w="850"/>
          </w:tcPr>
          <w:p>
            <w:pPr>
              <w:spacing w:before="40" w:after="40"/>
            </w:pPr>
            <w:r>
              <w:rPr>
                <w:b/>
                <w:sz w:val="17"/>
              </w:rPr>
              <w:t>DT-01</w:t>
            </w:r>
          </w:p>
        </w:tc>
        <w:tc>
          <w:tcPr>
            <w:tcW w:type="dxa" w:w="3061"/>
          </w:tcPr>
          <w:p>
            <w:pPr>
              <w:spacing w:before="40" w:after="40"/>
            </w:pPr>
            <w:r>
              <w:rPr>
                <w:sz w:val="17"/>
              </w:rPr>
              <w:t>No hay empaquetado en contenedores (RT-04).</w:t>
            </w:r>
          </w:p>
        </w:tc>
        <w:tc>
          <w:tcPr>
            <w:tcW w:type="dxa" w:w="2948"/>
          </w:tcPr>
          <w:p>
            <w:pPr>
              <w:spacing w:before="40" w:after="40"/>
            </w:pPr>
            <w:r>
              <w:rPr>
                <w:sz w:val="17"/>
              </w:rPr>
              <w:t>El entorno puede diferir entre integrantes y no hay una forma única de desplegar.</w:t>
            </w:r>
          </w:p>
        </w:tc>
        <w:tc>
          <w:tcPr>
            <w:tcW w:type="dxa" w:w="3175"/>
          </w:tcPr>
          <w:p>
            <w:pPr>
              <w:spacing w:before="40" w:after="40"/>
            </w:pPr>
            <w:r>
              <w:rPr>
                <w:sz w:val="17"/>
              </w:rPr>
              <w:t>Agregar Docker Compose para API y aplicación; sumar la base cuando se use.</w:t>
            </w:r>
          </w:p>
        </w:tc>
      </w:tr>
      <w:tr>
        <w:trPr>
          <w:cantSplit w:val="true"/>
        </w:trPr>
        <w:tc>
          <w:tcPr>
            <w:tcW w:type="dxa" w:w="850"/>
            <w:shd w:val="clear" w:color="auto" w:fill="EEF3F6"/>
          </w:tcPr>
          <w:p>
            <w:pPr>
              <w:spacing w:before="40" w:after="40"/>
            </w:pPr>
            <w:r>
              <w:rPr>
                <w:b/>
                <w:sz w:val="17"/>
              </w:rPr>
              <w:t>DT-02</w:t>
            </w:r>
          </w:p>
        </w:tc>
        <w:tc>
          <w:tcPr>
            <w:tcW w:type="dxa" w:w="3061"/>
            <w:shd w:val="clear" w:color="auto" w:fill="EEF3F6"/>
          </w:tcPr>
          <w:p>
            <w:pPr>
              <w:spacing w:before="40" w:after="40"/>
            </w:pPr>
            <w:r>
              <w:rPr>
                <w:sz w:val="17"/>
              </w:rPr>
              <w:t>No hay integración continua (RNF-MAN-005).</w:t>
            </w:r>
          </w:p>
        </w:tc>
        <w:tc>
          <w:tcPr>
            <w:tcW w:type="dxa" w:w="2948"/>
            <w:shd w:val="clear" w:color="auto" w:fill="EEF3F6"/>
          </w:tcPr>
          <w:p>
            <w:pPr>
              <w:spacing w:before="40" w:after="40"/>
            </w:pPr>
            <w:r>
              <w:rPr>
                <w:sz w:val="17"/>
              </w:rPr>
              <w:t>Un cambio puede romper pruebas sin que nadie lo note al integrar.</w:t>
            </w:r>
          </w:p>
        </w:tc>
        <w:tc>
          <w:tcPr>
            <w:tcW w:type="dxa" w:w="3175"/>
            <w:shd w:val="clear" w:color="auto" w:fill="EEF3F6"/>
          </w:tcPr>
          <w:p>
            <w:pPr>
              <w:spacing w:before="40" w:after="40"/>
            </w:pPr>
            <w:r>
              <w:rPr>
                <w:sz w:val="17"/>
              </w:rPr>
              <w:t>Flujo que ejecute pytest y la construcción del frontend en cada cambio propuesto.</w:t>
            </w:r>
          </w:p>
        </w:tc>
      </w:tr>
      <w:tr>
        <w:trPr>
          <w:cantSplit w:val="true"/>
        </w:trPr>
        <w:tc>
          <w:tcPr>
            <w:tcW w:type="dxa" w:w="850"/>
          </w:tcPr>
          <w:p>
            <w:pPr>
              <w:spacing w:before="40" w:after="40"/>
            </w:pPr>
            <w:r>
              <w:rPr>
                <w:b/>
                <w:sz w:val="17"/>
              </w:rPr>
              <w:t>DT-03</w:t>
            </w:r>
          </w:p>
        </w:tc>
        <w:tc>
          <w:tcPr>
            <w:tcW w:type="dxa" w:w="3061"/>
          </w:tcPr>
          <w:p>
            <w:pPr>
              <w:spacing w:before="40" w:after="40"/>
            </w:pPr>
            <w:r>
              <w:rPr>
                <w:sz w:val="17"/>
              </w:rPr>
              <w:t>El manifiesto del pronóstico vigila el mart cerrado y la selección, no los datos del año en curso.</w:t>
            </w:r>
          </w:p>
        </w:tc>
        <w:tc>
          <w:tcPr>
            <w:tcW w:type="dxa" w:w="2948"/>
          </w:tcPr>
          <w:p>
            <w:pPr>
              <w:spacing w:before="40" w:after="40"/>
            </w:pPr>
            <w:r>
              <w:rPr>
                <w:sz w:val="17"/>
              </w:rPr>
              <w:t>Tras actualizar Urgencias, el pronóstico persistido puede seguir considerándose vigente.</w:t>
            </w:r>
          </w:p>
        </w:tc>
        <w:tc>
          <w:tcPr>
            <w:tcW w:type="dxa" w:w="3175"/>
          </w:tcPr>
          <w:p>
            <w:pPr>
              <w:spacing w:before="40" w:after="40"/>
            </w:pPr>
            <w:r>
              <w:rPr>
                <w:sz w:val="17"/>
              </w:rPr>
              <w:t>Incluir en el manifiesto la huella del snapshot del año en curso.</w:t>
            </w:r>
          </w:p>
        </w:tc>
      </w:tr>
      <w:tr>
        <w:trPr>
          <w:cantSplit w:val="true"/>
        </w:trPr>
        <w:tc>
          <w:tcPr>
            <w:tcW w:type="dxa" w:w="850"/>
            <w:shd w:val="clear" w:color="auto" w:fill="EEF3F6"/>
          </w:tcPr>
          <w:p>
            <w:pPr>
              <w:spacing w:before="40" w:after="40"/>
            </w:pPr>
            <w:r>
              <w:rPr>
                <w:b/>
                <w:sz w:val="17"/>
              </w:rPr>
              <w:t>DT-04</w:t>
            </w:r>
          </w:p>
        </w:tc>
        <w:tc>
          <w:tcPr>
            <w:tcW w:type="dxa" w:w="3061"/>
            <w:shd w:val="clear" w:color="auto" w:fill="EEF3F6"/>
          </w:tcPr>
          <w:p>
            <w:pPr>
              <w:spacing w:before="40" w:after="40"/>
            </w:pPr>
            <w:r>
              <w:rPr>
                <w:sz w:val="17"/>
              </w:rPr>
              <w:t>La base relacional está diseñada pero no cargada (RT-03).</w:t>
            </w:r>
          </w:p>
        </w:tc>
        <w:tc>
          <w:tcPr>
            <w:tcW w:type="dxa" w:w="2948"/>
            <w:shd w:val="clear" w:color="auto" w:fill="EEF3F6"/>
          </w:tcPr>
          <w:p>
            <w:pPr>
              <w:spacing w:before="40" w:after="40"/>
            </w:pPr>
            <w:r>
              <w:rPr>
                <w:sz w:val="17"/>
              </w:rPr>
              <w:t>El diseño puede desalinearse de los Parquet si no se ejercita.</w:t>
            </w:r>
          </w:p>
        </w:tc>
        <w:tc>
          <w:tcPr>
            <w:tcW w:type="dxa" w:w="3175"/>
            <w:shd w:val="clear" w:color="auto" w:fill="EEF3F6"/>
          </w:tcPr>
          <w:p>
            <w:pPr>
              <w:spacing w:before="40" w:after="40"/>
            </w:pPr>
            <w:r>
              <w:rPr>
                <w:sz w:val="17"/>
              </w:rPr>
              <w:t>Cargarla cuando se implemente la accesibilidad territorial, que es quien la necesita.</w:t>
            </w:r>
          </w:p>
        </w:tc>
      </w:tr>
      <w:tr>
        <w:trPr>
          <w:cantSplit w:val="true"/>
        </w:trPr>
        <w:tc>
          <w:tcPr>
            <w:tcW w:type="dxa" w:w="850"/>
          </w:tcPr>
          <w:p>
            <w:pPr>
              <w:spacing w:before="40" w:after="40"/>
            </w:pPr>
            <w:r>
              <w:rPr>
                <w:b/>
                <w:sz w:val="17"/>
              </w:rPr>
              <w:t>DT-05</w:t>
            </w:r>
          </w:p>
        </w:tc>
        <w:tc>
          <w:tcPr>
            <w:tcW w:type="dxa" w:w="3061"/>
          </w:tcPr>
          <w:p>
            <w:pPr>
              <w:spacing w:before="40" w:after="40"/>
            </w:pPr>
            <w:r>
              <w:rPr>
                <w:sz w:val="17"/>
              </w:rPr>
              <w:t>El contrato de la API se mantiene en dos archivos.</w:t>
            </w:r>
          </w:p>
        </w:tc>
        <w:tc>
          <w:tcPr>
            <w:tcW w:type="dxa" w:w="2948"/>
          </w:tcPr>
          <w:p>
            <w:pPr>
              <w:spacing w:before="40" w:after="40"/>
            </w:pPr>
            <w:r>
              <w:rPr>
                <w:sz w:val="17"/>
              </w:rPr>
              <w:t>Un campo puede cambiar en el servidor y no en la interfaz.</w:t>
            </w:r>
          </w:p>
        </w:tc>
        <w:tc>
          <w:tcPr>
            <w:tcW w:type="dxa" w:w="3175"/>
          </w:tcPr>
          <w:p>
            <w:pPr>
              <w:spacing w:before="40" w:after="40"/>
            </w:pPr>
            <w:r>
              <w:rPr>
                <w:sz w:val="17"/>
              </w:rPr>
              <w:t>Generar los tipos del frontend desde la especificación OpenAPI.</w:t>
            </w:r>
          </w:p>
        </w:tc>
      </w:tr>
      <w:tr>
        <w:trPr>
          <w:cantSplit w:val="true"/>
        </w:trPr>
        <w:tc>
          <w:tcPr>
            <w:tcW w:type="dxa" w:w="850"/>
            <w:shd w:val="clear" w:color="auto" w:fill="EEF3F6"/>
          </w:tcPr>
          <w:p>
            <w:pPr>
              <w:spacing w:before="40" w:after="40"/>
            </w:pPr>
            <w:r>
              <w:rPr>
                <w:b/>
                <w:sz w:val="17"/>
              </w:rPr>
              <w:t>DT-06</w:t>
            </w:r>
          </w:p>
        </w:tc>
        <w:tc>
          <w:tcPr>
            <w:tcW w:type="dxa" w:w="3061"/>
            <w:shd w:val="clear" w:color="auto" w:fill="EEF3F6"/>
          </w:tcPr>
          <w:p>
            <w:pPr>
              <w:spacing w:before="40" w:after="40"/>
            </w:pPr>
            <w:r>
              <w:rPr>
                <w:sz w:val="17"/>
              </w:rPr>
              <w:t>El diagrama de componentes (</w:t>
            </w:r>
            <w:r>
              <w:rPr>
                <w:rFonts w:ascii="Consolas" w:hAnsi="Consolas"/>
                <w:sz w:val="17"/>
              </w:rPr>
              <w:t>componentes_saad</w:t>
            </w:r>
            <w:r>
              <w:rPr>
                <w:sz w:val="17"/>
              </w:rPr>
              <w:t>) es anterior a la construcción del modelo, la API y la interfaz.</w:t>
            </w:r>
          </w:p>
        </w:tc>
        <w:tc>
          <w:tcPr>
            <w:tcW w:type="dxa" w:w="2948"/>
            <w:shd w:val="clear" w:color="auto" w:fill="EEF3F6"/>
          </w:tcPr>
          <w:p>
            <w:pPr>
              <w:spacing w:before="40" w:after="40"/>
            </w:pPr>
            <w:r>
              <w:rPr>
                <w:sz w:val="17"/>
              </w:rPr>
              <w:t>Marca como planificados componentes que ya existen.</w:t>
            </w:r>
          </w:p>
        </w:tc>
        <w:tc>
          <w:tcPr>
            <w:tcW w:type="dxa" w:w="3175"/>
            <w:shd w:val="clear" w:color="auto" w:fill="EEF3F6"/>
          </w:tcPr>
          <w:p>
            <w:pPr>
              <w:spacing w:before="40" w:after="40"/>
            </w:pPr>
            <w:r>
              <w:rPr>
                <w:sz w:val="17"/>
              </w:rPr>
              <w:t>Actualizarlo; es parte de la tarea abierta D2-16.</w:t>
            </w:r>
          </w:p>
        </w:tc>
      </w:tr>
      <w:tr>
        <w:trPr>
          <w:cantSplit w:val="true"/>
        </w:trPr>
        <w:tc>
          <w:tcPr>
            <w:tcW w:type="dxa" w:w="850"/>
          </w:tcPr>
          <w:p>
            <w:pPr>
              <w:spacing w:before="40" w:after="40"/>
            </w:pPr>
            <w:r>
              <w:rPr>
                <w:b/>
                <w:sz w:val="17"/>
              </w:rPr>
              <w:t>DT-07</w:t>
            </w:r>
          </w:p>
        </w:tc>
        <w:tc>
          <w:tcPr>
            <w:tcW w:type="dxa" w:w="3061"/>
          </w:tcPr>
          <w:p>
            <w:pPr>
              <w:spacing w:before="40" w:after="40"/>
            </w:pPr>
            <w:r>
              <w:rPr>
                <w:sz w:val="17"/>
              </w:rPr>
              <w:t>La API es un proceso único con estado en memoria.</w:t>
            </w:r>
          </w:p>
        </w:tc>
        <w:tc>
          <w:tcPr>
            <w:tcW w:type="dxa" w:w="2948"/>
          </w:tcPr>
          <w:p>
            <w:pPr>
              <w:spacing w:before="40" w:after="40"/>
            </w:pPr>
            <w:r>
              <w:rPr>
                <w:sz w:val="17"/>
              </w:rPr>
              <w:t>No escala horizontalmente y exige reinicio para tomar datos nuevos.</w:t>
            </w:r>
          </w:p>
        </w:tc>
        <w:tc>
          <w:tcPr>
            <w:tcW w:type="dxa" w:w="3175"/>
          </w:tcPr>
          <w:p>
            <w:pPr>
              <w:spacing w:before="40" w:after="40"/>
            </w:pPr>
            <w:r>
              <w:rPr>
                <w:sz w:val="17"/>
              </w:rPr>
              <w:t>Aceptado para el MVP; revisar si el uso supera lo previsto.</w:t>
            </w:r>
          </w:p>
        </w:tc>
      </w:tr>
      <w:tr>
        <w:trPr>
          <w:cantSplit w:val="true"/>
        </w:trPr>
        <w:tc>
          <w:tcPr>
            <w:tcW w:type="dxa" w:w="850"/>
            <w:shd w:val="clear" w:color="auto" w:fill="EEF3F6"/>
          </w:tcPr>
          <w:p>
            <w:pPr>
              <w:spacing w:before="40" w:after="40"/>
            </w:pPr>
            <w:r>
              <w:rPr>
                <w:b/>
                <w:sz w:val="17"/>
              </w:rPr>
              <w:t>DT-08</w:t>
            </w:r>
          </w:p>
        </w:tc>
        <w:tc>
          <w:tcPr>
            <w:tcW w:type="dxa" w:w="3061"/>
            <w:shd w:val="clear" w:color="auto" w:fill="EEF3F6"/>
          </w:tcPr>
          <w:p>
            <w:pPr>
              <w:spacing w:before="40" w:after="40"/>
            </w:pPr>
            <w:r>
              <w:rPr>
                <w:sz w:val="17"/>
              </w:rPr>
              <w:t>Dos componentes del MVP siguen planificados: accesibilidad y análisis de hospitalización.</w:t>
            </w:r>
          </w:p>
        </w:tc>
        <w:tc>
          <w:tcPr>
            <w:tcW w:type="dxa" w:w="2948"/>
            <w:shd w:val="clear" w:color="auto" w:fill="EEF3F6"/>
          </w:tcPr>
          <w:p>
            <w:pPr>
              <w:spacing w:before="40" w:after="40"/>
            </w:pPr>
            <w:r>
              <w:rPr>
                <w:sz w:val="17"/>
              </w:rPr>
              <w:t>El MVP declarado no está completo.</w:t>
            </w:r>
          </w:p>
        </w:tc>
        <w:tc>
          <w:tcPr>
            <w:tcW w:type="dxa" w:w="3175"/>
            <w:shd w:val="clear" w:color="auto" w:fill="EEF3F6"/>
          </w:tcPr>
          <w:p>
            <w:pPr>
              <w:spacing w:before="40" w:after="40"/>
            </w:pPr>
            <w:r>
              <w:rPr>
                <w:sz w:val="17"/>
              </w:rPr>
              <w:t>Priorizarlos antes de agregar funciones nuevas.</w:t>
            </w:r>
          </w:p>
        </w:tc>
      </w:tr>
    </w:tbl>
    <w:p>
      <w:pPr>
        <w:spacing w:after="80"/>
      </w:pPr>
    </w:p>
    <w:tbl>
      <w:tblPr>
        <w:tblStyle w:val="TableGrid"/>
        <w:tblW w:type="auto" w:w="0"/>
        <w:tblLook w:firstColumn="1" w:firstRow="1" w:lastColumn="0" w:lastRow="0" w:noHBand="0" w:noVBand="1" w:val="04A0"/>
      </w:tblPr>
      <w:tblGrid>
        <w:gridCol w:w="10086"/>
      </w:tblGrid>
      <w:tr>
        <w:tc>
          <w:tcPr>
            <w:tcW w:type="dxa" w:w="10086"/>
            <w:shd w:val="clear" w:color="auto" w:fill="E3F0F8"/>
          </w:tcPr>
          <w:p>
            <w:pPr>
              <w:spacing w:before="80" w:after="80"/>
            </w:pPr>
            <w:r>
              <w:rPr>
                <w:b/>
                <w:sz w:val="20"/>
              </w:rPr>
              <w:t>Sobre la arquitectura objetivo.</w:t>
            </w:r>
            <w:r>
              <w:rPr>
                <w:sz w:val="20"/>
              </w:rPr>
              <w:t xml:space="preserve"> Las brechas DT-01 y DT-04 no cuestionan el estilo elegido: son partes de la arquitectura objetivo que aún no se construyen. La separación entre pipeline, API y aplicación es la que permite agregarlas sin rehacer lo existente.</w:t>
            </w:r>
          </w:p>
        </w:tc>
      </w:tr>
    </w:tbl>
    <w:p>
      <w:pPr>
        <w:spacing w:after="40"/>
      </w:pPr>
    </w:p>
    <w:p>
      <w:pPr>
        <w:pStyle w:val="Heading1"/>
      </w:pPr>
      <w:r>
        <w:t>13. Trazabilidad</w:t>
      </w:r>
    </w:p>
    <w:p>
      <w:pPr>
        <w:pStyle w:val="Heading2"/>
      </w:pPr>
      <w:r>
        <w:t>13.1 Criterios de aceptación del documento</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4649"/>
            <w:shd w:val="clear" w:color="auto" w:fill="0B4660"/>
          </w:tcPr>
          <w:p>
            <w:pPr>
              <w:keepNext/>
              <w:spacing w:before="40" w:after="40"/>
            </w:pPr>
            <w:r>
              <w:rPr>
                <w:b/>
                <w:color w:val="FFFFFF"/>
                <w:sz w:val="19"/>
              </w:rPr>
              <w:t>Criterio (tarea D2-15)</w:t>
            </w:r>
          </w:p>
        </w:tc>
        <w:tc>
          <w:tcPr>
            <w:tcW w:type="dxa" w:w="5386"/>
            <w:shd w:val="clear" w:color="auto" w:fill="0B4660"/>
          </w:tcPr>
          <w:p>
            <w:pPr>
              <w:keepNext/>
              <w:spacing w:before="40" w:after="40"/>
            </w:pPr>
            <w:r>
              <w:rPr>
                <w:b/>
                <w:color w:val="FFFFFF"/>
                <w:sz w:val="19"/>
              </w:rPr>
              <w:t>Dónde se atiende</w:t>
            </w:r>
          </w:p>
        </w:tc>
      </w:tr>
      <w:tr>
        <w:trPr>
          <w:cantSplit w:val="true"/>
        </w:trPr>
        <w:tc>
          <w:tcPr>
            <w:tcW w:type="dxa" w:w="4649"/>
          </w:tcPr>
          <w:p>
            <w:pPr>
              <w:spacing w:before="40" w:after="40"/>
            </w:pPr>
            <w:r>
              <w:rPr>
                <w:b/>
                <w:sz w:val="19"/>
              </w:rPr>
              <w:t>Arquitectura seleccionada descrita</w:t>
            </w:r>
          </w:p>
        </w:tc>
        <w:tc>
          <w:tcPr>
            <w:tcW w:type="dxa" w:w="5386"/>
          </w:tcPr>
          <w:p>
            <w:pPr>
              <w:spacing w:before="40" w:after="40"/>
            </w:pPr>
            <w:r>
              <w:rPr>
                <w:sz w:val="19"/>
              </w:rPr>
              <w:t>Sección 3.</w:t>
            </w:r>
          </w:p>
        </w:tc>
      </w:tr>
      <w:tr>
        <w:trPr>
          <w:cantSplit w:val="true"/>
        </w:trPr>
        <w:tc>
          <w:tcPr>
            <w:tcW w:type="dxa" w:w="4649"/>
            <w:shd w:val="clear" w:color="auto" w:fill="EEF3F6"/>
          </w:tcPr>
          <w:p>
            <w:pPr>
              <w:spacing w:before="40" w:after="40"/>
            </w:pPr>
            <w:r>
              <w:rPr>
                <w:b/>
                <w:sz w:val="19"/>
              </w:rPr>
              <w:t>Componentes principales definidos</w:t>
            </w:r>
          </w:p>
        </w:tc>
        <w:tc>
          <w:tcPr>
            <w:tcW w:type="dxa" w:w="5386"/>
            <w:shd w:val="clear" w:color="auto" w:fill="EEF3F6"/>
          </w:tcPr>
          <w:p>
            <w:pPr>
              <w:spacing w:before="40" w:after="40"/>
            </w:pPr>
            <w:r>
              <w:rPr>
                <w:sz w:val="19"/>
              </w:rPr>
              <w:t>Sección 4.</w:t>
            </w:r>
          </w:p>
        </w:tc>
      </w:tr>
      <w:tr>
        <w:trPr>
          <w:cantSplit w:val="true"/>
        </w:trPr>
        <w:tc>
          <w:tcPr>
            <w:tcW w:type="dxa" w:w="4649"/>
          </w:tcPr>
          <w:p>
            <w:pPr>
              <w:spacing w:before="40" w:after="40"/>
            </w:pPr>
            <w:r>
              <w:rPr>
                <w:b/>
                <w:sz w:val="19"/>
              </w:rPr>
              <w:t>Tecnologías justificadas</w:t>
            </w:r>
          </w:p>
        </w:tc>
        <w:tc>
          <w:tcPr>
            <w:tcW w:type="dxa" w:w="5386"/>
          </w:tcPr>
          <w:p>
            <w:pPr>
              <w:spacing w:before="40" w:after="40"/>
            </w:pPr>
            <w:r>
              <w:rPr>
                <w:sz w:val="19"/>
              </w:rPr>
              <w:t>Sección 10.1.</w:t>
            </w:r>
          </w:p>
        </w:tc>
      </w:tr>
      <w:tr>
        <w:trPr>
          <w:cantSplit w:val="true"/>
        </w:trPr>
        <w:tc>
          <w:tcPr>
            <w:tcW w:type="dxa" w:w="4649"/>
            <w:shd w:val="clear" w:color="auto" w:fill="EEF3F6"/>
          </w:tcPr>
          <w:p>
            <w:pPr>
              <w:spacing w:before="40" w:after="40"/>
            </w:pPr>
            <w:r>
              <w:rPr>
                <w:b/>
                <w:sz w:val="19"/>
              </w:rPr>
              <w:t>Integraciones y servicios/API documentados</w:t>
            </w:r>
          </w:p>
        </w:tc>
        <w:tc>
          <w:tcPr>
            <w:tcW w:type="dxa" w:w="5386"/>
            <w:shd w:val="clear" w:color="auto" w:fill="EEF3F6"/>
          </w:tcPr>
          <w:p>
            <w:pPr>
              <w:spacing w:before="40" w:after="40"/>
            </w:pPr>
            <w:r>
              <w:rPr>
                <w:sz w:val="19"/>
              </w:rPr>
              <w:t>Sección 9.</w:t>
            </w:r>
          </w:p>
        </w:tc>
      </w:tr>
      <w:tr>
        <w:trPr>
          <w:cantSplit w:val="true"/>
        </w:trPr>
        <w:tc>
          <w:tcPr>
            <w:tcW w:type="dxa" w:w="4649"/>
          </w:tcPr>
          <w:p>
            <w:pPr>
              <w:spacing w:before="40" w:after="40"/>
            </w:pPr>
            <w:r>
              <w:rPr>
                <w:b/>
                <w:sz w:val="19"/>
              </w:rPr>
              <w:t>Restricciones técnicas incluidas</w:t>
            </w:r>
          </w:p>
        </w:tc>
        <w:tc>
          <w:tcPr>
            <w:tcW w:type="dxa" w:w="5386"/>
          </w:tcPr>
          <w:p>
            <w:pPr>
              <w:spacing w:before="40" w:after="40"/>
            </w:pPr>
            <w:r>
              <w:rPr>
                <w:sz w:val="19"/>
              </w:rPr>
              <w:t>Secciones 2.4 y 12.</w:t>
            </w:r>
          </w:p>
        </w:tc>
      </w:tr>
    </w:tbl>
    <w:p>
      <w:pPr>
        <w:spacing w:after="80"/>
      </w:pPr>
    </w:p>
    <w:p>
      <w:pPr>
        <w:pStyle w:val="Heading2"/>
      </w:pPr>
      <w:r>
        <w:t>13.2 Requisitos funcionales y componentes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3402"/>
            <w:shd w:val="clear" w:color="auto" w:fill="0B4660"/>
          </w:tcPr>
          <w:p>
            <w:pPr>
              <w:keepNext/>
              <w:spacing w:before="40" w:after="40"/>
            </w:pPr>
            <w:r>
              <w:rPr>
                <w:b/>
                <w:color w:val="FFFFFF"/>
                <w:sz w:val="18"/>
              </w:rPr>
              <w:t>Grupo de requisitos (ERF)</w:t>
            </w:r>
          </w:p>
        </w:tc>
        <w:tc>
          <w:tcPr>
            <w:tcW w:type="dxa" w:w="4876"/>
            <w:shd w:val="clear" w:color="auto" w:fill="0B4660"/>
          </w:tcPr>
          <w:p>
            <w:pPr>
              <w:keepNext/>
              <w:spacing w:before="40" w:after="40"/>
            </w:pPr>
            <w:r>
              <w:rPr>
                <w:b/>
                <w:color w:val="FFFFFF"/>
                <w:sz w:val="18"/>
              </w:rPr>
              <w:t>Componentes que lo realizan</w:t>
            </w:r>
          </w:p>
        </w:tc>
        <w:tc>
          <w:tcPr>
            <w:tcW w:type="dxa" w:w="1757"/>
            <w:shd w:val="clear" w:color="auto" w:fill="0B4660"/>
          </w:tcPr>
          <w:p>
            <w:pPr>
              <w:keepNext/>
              <w:spacing w:before="40" w:after="40"/>
            </w:pPr>
            <w:r>
              <w:rPr>
                <w:b/>
                <w:color w:val="FFFFFF"/>
                <w:sz w:val="18"/>
              </w:rPr>
              <w:t>Estado</w:t>
            </w:r>
          </w:p>
        </w:tc>
      </w:tr>
      <w:tr>
        <w:trPr>
          <w:cantSplit w:val="true"/>
        </w:trPr>
        <w:tc>
          <w:tcPr>
            <w:tcW w:type="dxa" w:w="3402"/>
          </w:tcPr>
          <w:p>
            <w:pPr>
              <w:spacing w:before="40" w:after="40"/>
            </w:pPr>
            <w:r>
              <w:rPr>
                <w:b/>
                <w:sz w:val="18"/>
              </w:rPr>
              <w:t>RF-ETL y RF-CAL · Ingesta y calidad de datos</w:t>
            </w:r>
          </w:p>
        </w:tc>
        <w:tc>
          <w:tcPr>
            <w:tcW w:type="dxa" w:w="4876"/>
          </w:tcPr>
          <w:p>
            <w:pPr>
              <w:spacing w:before="40" w:after="40"/>
            </w:pPr>
            <w:r>
              <w:rPr>
                <w:sz w:val="18"/>
              </w:rPr>
              <w:t>Ingesta y procedencia, limpieza, contratos de output.</w:t>
            </w:r>
          </w:p>
        </w:tc>
        <w:tc>
          <w:tcPr>
            <w:tcW w:type="dxa" w:w="1757"/>
          </w:tcPr>
          <w:p>
            <w:pPr>
              <w:spacing w:before="40" w:after="40"/>
            </w:pPr>
            <w:r>
              <w:rPr>
                <w:sz w:val="18"/>
              </w:rPr>
              <w:t>Implementado</w:t>
            </w:r>
          </w:p>
        </w:tc>
      </w:tr>
      <w:tr>
        <w:trPr>
          <w:cantSplit w:val="true"/>
        </w:trPr>
        <w:tc>
          <w:tcPr>
            <w:tcW w:type="dxa" w:w="3402"/>
            <w:shd w:val="clear" w:color="auto" w:fill="EEF3F6"/>
          </w:tcPr>
          <w:p>
            <w:pPr>
              <w:spacing w:before="40" w:after="40"/>
            </w:pPr>
            <w:r>
              <w:rPr>
                <w:b/>
                <w:sz w:val="18"/>
              </w:rPr>
              <w:t>RF-DEM · Proyección de demanda</w:t>
            </w:r>
          </w:p>
        </w:tc>
        <w:tc>
          <w:tcPr>
            <w:tcW w:type="dxa" w:w="4876"/>
            <w:shd w:val="clear" w:color="auto" w:fill="EEF3F6"/>
          </w:tcPr>
          <w:p>
            <w:pPr>
              <w:spacing w:before="40" w:after="40"/>
            </w:pPr>
            <w:r>
              <w:rPr>
                <w:sz w:val="18"/>
              </w:rPr>
              <w:t>Modelos de demanda, benchmark y holdout, persistencia del pronóstico.</w:t>
            </w:r>
          </w:p>
        </w:tc>
        <w:tc>
          <w:tcPr>
            <w:tcW w:type="dxa" w:w="1757"/>
            <w:shd w:val="clear" w:color="auto" w:fill="EEF3F6"/>
          </w:tcPr>
          <w:p>
            <w:pPr>
              <w:spacing w:before="40" w:after="40"/>
            </w:pPr>
            <w:r>
              <w:rPr>
                <w:sz w:val="18"/>
              </w:rPr>
              <w:t>Implementado</w:t>
            </w:r>
          </w:p>
        </w:tc>
      </w:tr>
      <w:tr>
        <w:trPr>
          <w:cantSplit w:val="true"/>
        </w:trPr>
        <w:tc>
          <w:tcPr>
            <w:tcW w:type="dxa" w:w="3402"/>
          </w:tcPr>
          <w:p>
            <w:pPr>
              <w:spacing w:before="40" w:after="40"/>
            </w:pPr>
            <w:r>
              <w:rPr>
                <w:b/>
                <w:sz w:val="18"/>
              </w:rPr>
              <w:t>RF-ACC · Análisis territorial y accesibilidad</w:t>
            </w:r>
          </w:p>
        </w:tc>
        <w:tc>
          <w:tcPr>
            <w:tcW w:type="dxa" w:w="4876"/>
          </w:tcPr>
          <w:p>
            <w:pPr>
              <w:spacing w:before="40" w:after="40"/>
            </w:pPr>
            <w:r>
              <w:rPr>
                <w:sz w:val="18"/>
              </w:rPr>
              <w:t>Marts territoriales (implementado); accesibilidad por red (planificado).</w:t>
            </w:r>
          </w:p>
        </w:tc>
        <w:tc>
          <w:tcPr>
            <w:tcW w:type="dxa" w:w="1757"/>
          </w:tcPr>
          <w:p>
            <w:pPr>
              <w:spacing w:before="40" w:after="40"/>
            </w:pPr>
            <w:r>
              <w:rPr>
                <w:sz w:val="18"/>
              </w:rPr>
              <w:t>Parcial</w:t>
            </w:r>
          </w:p>
        </w:tc>
      </w:tr>
      <w:tr>
        <w:trPr>
          <w:cantSplit w:val="true"/>
        </w:trPr>
        <w:tc>
          <w:tcPr>
            <w:tcW w:type="dxa" w:w="3402"/>
            <w:shd w:val="clear" w:color="auto" w:fill="EEF3F6"/>
          </w:tcPr>
          <w:p>
            <w:pPr>
              <w:spacing w:before="40" w:after="40"/>
            </w:pPr>
            <w:r>
              <w:rPr>
                <w:b/>
                <w:sz w:val="18"/>
              </w:rPr>
              <w:t>RF-HOS · Caracterización de hospitalizaciones</w:t>
            </w:r>
          </w:p>
        </w:tc>
        <w:tc>
          <w:tcPr>
            <w:tcW w:type="dxa" w:w="4876"/>
            <w:shd w:val="clear" w:color="auto" w:fill="EEF3F6"/>
          </w:tcPr>
          <w:p>
            <w:pPr>
              <w:spacing w:before="40" w:after="40"/>
            </w:pPr>
            <w:r>
              <w:rPr>
                <w:sz w:val="18"/>
              </w:rPr>
              <w:t>Dataset canónico de Egresos F00–F99 (implementado); análisis (planificado).</w:t>
            </w:r>
          </w:p>
        </w:tc>
        <w:tc>
          <w:tcPr>
            <w:tcW w:type="dxa" w:w="1757"/>
            <w:shd w:val="clear" w:color="auto" w:fill="EEF3F6"/>
          </w:tcPr>
          <w:p>
            <w:pPr>
              <w:spacing w:before="40" w:after="40"/>
            </w:pPr>
            <w:r>
              <w:rPr>
                <w:sz w:val="18"/>
              </w:rPr>
              <w:t>Parcial</w:t>
            </w:r>
          </w:p>
        </w:tc>
      </w:tr>
      <w:tr>
        <w:trPr>
          <w:cantSplit w:val="true"/>
        </w:trPr>
        <w:tc>
          <w:tcPr>
            <w:tcW w:type="dxa" w:w="3402"/>
          </w:tcPr>
          <w:p>
            <w:pPr>
              <w:spacing w:before="40" w:after="40"/>
            </w:pPr>
            <w:r>
              <w:rPr>
                <w:b/>
                <w:sz w:val="18"/>
              </w:rPr>
              <w:t>RF-VIS · Visualización de resultados</w:t>
            </w:r>
          </w:p>
        </w:tc>
        <w:tc>
          <w:tcPr>
            <w:tcW w:type="dxa" w:w="4876"/>
          </w:tcPr>
          <w:p>
            <w:pPr>
              <w:spacing w:before="40" w:after="40"/>
            </w:pPr>
            <w:r>
              <w:rPr>
                <w:sz w:val="18"/>
              </w:rPr>
              <w:t>Aplicación web: portada, serie, mapa comunal y tabla.</w:t>
            </w:r>
          </w:p>
        </w:tc>
        <w:tc>
          <w:tcPr>
            <w:tcW w:type="dxa" w:w="1757"/>
          </w:tcPr>
          <w:p>
            <w:pPr>
              <w:spacing w:before="40" w:after="40"/>
            </w:pPr>
            <w:r>
              <w:rPr>
                <w:sz w:val="18"/>
              </w:rPr>
              <w:t>Implementado</w:t>
            </w:r>
          </w:p>
        </w:tc>
      </w:tr>
      <w:tr>
        <w:trPr>
          <w:cantSplit w:val="true"/>
        </w:trPr>
        <w:tc>
          <w:tcPr>
            <w:tcW w:type="dxa" w:w="3402"/>
            <w:shd w:val="clear" w:color="auto" w:fill="EEF3F6"/>
          </w:tcPr>
          <w:p>
            <w:pPr>
              <w:spacing w:before="40" w:after="40"/>
            </w:pPr>
            <w:r>
              <w:rPr>
                <w:b/>
                <w:sz w:val="18"/>
              </w:rPr>
              <w:t>RF-API · API de consulta</w:t>
            </w:r>
          </w:p>
        </w:tc>
        <w:tc>
          <w:tcPr>
            <w:tcW w:type="dxa" w:w="4876"/>
            <w:shd w:val="clear" w:color="auto" w:fill="EEF3F6"/>
          </w:tcPr>
          <w:p>
            <w:pPr>
              <w:spacing w:before="40" w:after="40"/>
            </w:pPr>
            <w:r>
              <w:rPr>
                <w:sz w:val="18"/>
              </w:rPr>
              <w:t>API REST de solo lectura.</w:t>
            </w:r>
          </w:p>
        </w:tc>
        <w:tc>
          <w:tcPr>
            <w:tcW w:type="dxa" w:w="1757"/>
            <w:shd w:val="clear" w:color="auto" w:fill="EEF3F6"/>
          </w:tcPr>
          <w:p>
            <w:pPr>
              <w:spacing w:before="40" w:after="40"/>
            </w:pPr>
            <w:r>
              <w:rPr>
                <w:sz w:val="18"/>
              </w:rPr>
              <w:t>Implementado</w:t>
            </w:r>
          </w:p>
        </w:tc>
      </w:tr>
      <w:tr>
        <w:trPr>
          <w:cantSplit w:val="true"/>
        </w:trPr>
        <w:tc>
          <w:tcPr>
            <w:tcW w:type="dxa" w:w="3402"/>
          </w:tcPr>
          <w:p>
            <w:pPr>
              <w:spacing w:before="40" w:after="40"/>
            </w:pPr>
            <w:r>
              <w:rPr>
                <w:b/>
                <w:sz w:val="18"/>
              </w:rPr>
              <w:t>RF-TRZ y RF-ADM · Trazabilidad y administración</w:t>
            </w:r>
          </w:p>
        </w:tc>
        <w:tc>
          <w:tcPr>
            <w:tcW w:type="dxa" w:w="4876"/>
          </w:tcPr>
          <w:p>
            <w:pPr>
              <w:spacing w:before="40" w:after="40"/>
            </w:pPr>
            <w:r>
              <w:rPr>
                <w:sz w:val="18"/>
              </w:rPr>
              <w:t>Orquestador, manifiestos de procedencia y del pronóstico.</w:t>
            </w:r>
          </w:p>
        </w:tc>
        <w:tc>
          <w:tcPr>
            <w:tcW w:type="dxa" w:w="1757"/>
          </w:tcPr>
          <w:p>
            <w:pPr>
              <w:spacing w:before="40" w:after="40"/>
            </w:pPr>
            <w:r>
              <w:rPr>
                <w:sz w:val="18"/>
              </w:rPr>
              <w:t>Implementado</w:t>
            </w:r>
          </w:p>
        </w:tc>
      </w:tr>
    </w:tbl>
    <w:p>
      <w:pPr>
        <w:spacing w:after="80"/>
      </w:pPr>
    </w:p>
    <w:p>
      <w:pPr>
        <w:pStyle w:val="Heading2"/>
      </w:pPr>
      <w:r>
        <w:t>13.3 Mantenimiento de este documento</w:t>
      </w:r>
    </w:p>
    <w:p>
      <w:pPr>
        <w:jc w:val="both"/>
      </w:pPr>
      <w:r>
        <w:rPr>
          <w:sz w:val="21"/>
        </w:rPr>
        <w:t xml:space="preserve">El documento se regenera con </w:t>
      </w:r>
      <w:r>
        <w:rPr>
          <w:rFonts w:ascii="Consolas" w:hAnsi="Consolas"/>
          <w:sz w:val="20"/>
        </w:rPr>
        <w:t>python scripts/generate_das_docx.py</w:t>
      </w:r>
      <w:r>
        <w:rPr>
          <w:sz w:val="21"/>
        </w:rPr>
        <w:t xml:space="preserve">, que también vuelve a dibujar las figuras 1, 4 y 5. Debe actualizarse cuando cambie un componente, un endpoint, una tecnología o una decisión registrada, y en particular cuando se cierre alguna de las brechas de la sección 12. Las figuras 2 y 3 provienen de los diagramas mantenidos en </w:t>
      </w:r>
      <w:r>
        <w:rPr>
          <w:rFonts w:ascii="Consolas" w:hAnsi="Consolas"/>
          <w:sz w:val="20"/>
        </w:rPr>
        <w:t>docs/07-diagramas/</w:t>
      </w:r>
      <w:r>
        <w:rPr>
          <w:sz w:val="21"/>
        </w:rPr>
        <w:t xml:space="preserve"> y se actualizan regenerándolos desde su fuente.</w:t>
      </w:r>
    </w:p>
    <w:sectPr w:rsidR="00FC693F" w:rsidRPr="0006063C" w:rsidSect="00034616">
      <w:footerReference w:type="default" r:id="rId9"/>
      <w:pgSz w:w="12240" w:h="15840"/>
      <w:pgMar w:top="1247"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altName w:val="Calibri"/>
  </w:font>
  <w:font w:name="Plus Jakarta Sans">
    <w:altName w:val="Calibri"/>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7685"/>
        <w:sz w:val="16"/>
      </w:rPr>
      <w:t xml:space="preserve">DAS-SAAD-2026 · Documento de Arquitectura de Software · v1.0  |  Página </w:t>
    </w:r>
    <w:r>
      <w:rPr>
        <w:color w:val="5E7685"/>
        <w:sz w:val="16"/>
      </w:rPr>
      <w:fldChar w:fldCharType="begin"/>
      <w:instrText xml:space="preserve"> PAGE </w:instrText>
      <w:fldChar w:fldCharType="separate"/>
      <w:fldChar w:fldCharType="end"/>
    </w:r>
    <w:r>
      <w:rPr>
        <w:color w:val="5E7685"/>
        <w:sz w:val="16"/>
      </w:rPr>
      <w:t xml:space="preserve"> de </w:t>
    </w:r>
    <w:r>
      <w:rPr>
        <w:color w:val="5E7685"/>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0F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Bdr>
        <w:bottom w:val="single" w:sz="8" w:space="4" w:color="86BEA9"/>
      </w:pBdr>
    </w:pPr>
    <w:rPr>
      <w:rFonts w:asciiTheme="majorHAnsi" w:eastAsiaTheme="majorEastAsia" w:hAnsiTheme="majorHAnsi" w:cstheme="majorBidi" w:ascii="Plus Jakarta Sans" w:hAnsi="Plus Jakarta Sans" w:cs="Plus Jakarta Sans" w:eastAsia="Plus Jakarta Sans"/>
      <w:b/>
      <w:bCs/>
      <w:color w:val="0B466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us Jakarta Sans" w:hAnsi="Plus Jakarta Sans" w:cs="Plus Jakarta Sans" w:eastAsia="Plus Jakarta Sans"/>
      <w:b/>
      <w:bCs/>
      <w:color w:val="0F5A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Plus Jakarta Sans" w:hAnsi="Plus Jakarta Sans" w:cs="Plus Jakarta Sans" w:eastAsia="Plus Jakarta Sans"/>
      <w:b/>
      <w:bCs/>
      <w:color w:val="2F74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