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vAlign w:val="center"/>
            <w:tcMar>
              <w:top w:w="75" w:type="dxa"/>
              <w:start w:w="110" w:type="dxa"/>
              <w:bottom w:w="75" w:type="dxa"/>
              <w:end w:w="110" w:type="dxa"/>
            </w:tcMa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blHeader w:val="0"/>
        </w:trPr>
        <w:tc>
          <w:tcPr>
            <w:shd w:fill="d9e2f3" w:val="clear"/>
            <w:vAlign w:val="center"/>
            <w:tcMar>
              <w:top w:w="75" w:type="dxa"/>
              <w:start w:w="110" w:type="dxa"/>
              <w:bottom w:w="75" w:type="dxa"/>
              <w:end w:w="110" w:type="dxa"/>
            </w:tcMa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blHeader w:val="0"/>
        </w:trPr>
        <w:tc>
          <w:tcPr>
            <w:vAlign w:val="center"/>
            <w:tcMar>
              <w:top w:w="75" w:type="dxa"/>
              <w:start w:w="110" w:type="dxa"/>
              <w:bottom w:w="75" w:type="dxa"/>
              <w:end w:w="110" w:type="dxa"/>
            </w:tcMa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tcMar>
              <w:top w:w="75" w:type="dxa"/>
              <w:bottom w:w="75" w:type="dxa"/>
              <w:start w:w="110" w:type="dxa"/>
              <w:end w:w="110" w:type="dxa"/>
            </w:tcMar>
            <w:vAlign w:val="center"/>
          </w:tcPr>
          <w:p w:rsidR="00000000" w:rsidDel="00000000" w:rsidP="00000000" w:rsidRDefault="00000000" w:rsidRPr="00000000" w14:paraId="0000000D">
            <w:pPr>
              <w:spacing w:after="60" w:before="0" w:line="252.00000000000003" w:lineRule="auto"/>
              <w:jc w:val="left"/>
              <w:rPr/>
            </w:pPr>
            <w:r w:rsidDel="00000000" w:rsidR="00000000" w:rsidRPr="00000000">
              <w:rPr>
                <w:rFonts w:ascii="Arial" w:cs="Arial" w:eastAsia="Arial" w:hAnsi="Arial"/>
                <w:b w:val="0"/>
                <w:bCs w:val="0"/>
                <w:i w:val="0"/>
                <w:iCs w:val="0"/>
                <w:color w:val="000000"/>
                <w:sz w:val="21"/>
                <w:szCs w:val="21"/>
                <w:rtl w:val="0"/>
              </w:rPr>
              <w:t xml:space="preserve">Camila Aroca Muñoz</w:t>
            </w:r>
            <w:r w:rsidDel="00000000" w:rsidR="00000000" w:rsidRPr="00000000">
              <w:rPr>
                <w:rtl w:val="0"/>
              </w:rPr>
            </w:r>
          </w:p>
        </w:tc>
      </w:tr>
      <w:tr>
        <w:trPr>
          <w:cantSplit w:val="0"/>
          <w:tblHeader w:val="0"/>
        </w:trPr>
        <w:tc>
          <w:tcPr>
            <w:vAlign w:val="center"/>
            <w:tcMar>
              <w:top w:w="75" w:type="dxa"/>
              <w:start w:w="110" w:type="dxa"/>
              <w:bottom w:w="75" w:type="dxa"/>
              <w:end w:w="110" w:type="dxa"/>
            </w:tcMa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shd w:fill="fff2cc" w:val="clear"/>
            <w:tcMar>
              <w:top w:w="75" w:type="dxa"/>
              <w:bottom w:w="75" w:type="dxa"/>
              <w:start w:w="110" w:type="dxa"/>
              <w:end w:w="110" w:type="dxa"/>
            </w:tcMar>
            <w:vAlign w:val="center"/>
          </w:tcPr>
          <w:p w:rsidR="00000000" w:rsidDel="00000000" w:rsidP="00000000" w:rsidRDefault="00000000" w:rsidRPr="00000000" w14:paraId="0000000F">
            <w:pPr>
              <w:spacing w:after="60" w:before="0" w:line="252.00000000000003" w:lineRule="auto"/>
              <w:jc w:val="left"/>
              <w:rPr/>
            </w:pPr>
            <w:r w:rsidDel="00000000" w:rsidR="00000000" w:rsidRPr="00000000">
              <w:rPr>
                <w:rFonts w:ascii="Arial" w:cs="Arial" w:eastAsia="Arial" w:hAnsi="Arial"/>
                <w:b w:val="0"/>
                <w:bCs w:val="0"/>
                <w:i w:val="0"/>
                <w:iCs w:val="0"/>
                <w:color w:val="9c5700"/>
                <w:sz w:val="19"/>
                <w:szCs w:val="19"/>
                <w:rtl w:val="0"/>
              </w:rPr>
              <w:t xml:space="preserve">PENDIENTE DE COMPLETAR POR LA ESTUDIANTE</w:t>
            </w:r>
            <w:r w:rsidDel="00000000" w:rsidR="00000000" w:rsidRPr="00000000">
              <w:rPr>
                <w:rtl w:val="0"/>
              </w:rPr>
            </w:r>
          </w:p>
        </w:tc>
      </w:tr>
      <w:tr>
        <w:trPr>
          <w:cantSplit w:val="0"/>
          <w:tblHeader w:val="0"/>
        </w:trPr>
        <w:tc>
          <w:tcPr>
            <w:vAlign w:val="center"/>
            <w:tcMar>
              <w:top w:w="75" w:type="dxa"/>
              <w:start w:w="110" w:type="dxa"/>
              <w:bottom w:w="75" w:type="dxa"/>
              <w:end w:w="110" w:type="dxa"/>
            </w:tcMa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tcMar>
              <w:top w:w="75" w:type="dxa"/>
              <w:bottom w:w="75" w:type="dxa"/>
              <w:start w:w="110" w:type="dxa"/>
              <w:end w:w="110" w:type="dxa"/>
            </w:tcMar>
            <w:vAlign w:val="center"/>
          </w:tcPr>
          <w:p w:rsidR="00000000" w:rsidDel="00000000" w:rsidP="00000000" w:rsidRDefault="00000000" w:rsidRPr="00000000" w14:paraId="00000011">
            <w:pPr>
              <w:spacing w:after="60" w:before="0" w:line="252.00000000000003" w:lineRule="auto"/>
              <w:jc w:val="left"/>
              <w:rPr/>
            </w:pPr>
            <w:r w:rsidDel="00000000" w:rsidR="00000000" w:rsidRPr="00000000">
              <w:rPr>
                <w:rFonts w:ascii="Arial" w:cs="Arial" w:eastAsia="Arial" w:hAnsi="Arial"/>
                <w:b w:val="0"/>
                <w:bCs w:val="0"/>
                <w:i w:val="0"/>
                <w:iCs w:val="0"/>
                <w:color w:val="000000"/>
                <w:sz w:val="21"/>
                <w:szCs w:val="21"/>
                <w:rtl w:val="0"/>
              </w:rPr>
              <w:t xml:space="preserve">Ingeniería en Informática</w:t>
            </w:r>
            <w:r w:rsidDel="00000000" w:rsidR="00000000" w:rsidRPr="00000000">
              <w:rPr>
                <w:rtl w:val="0"/>
              </w:rPr>
            </w:r>
          </w:p>
        </w:tc>
      </w:tr>
      <w:tr>
        <w:trPr>
          <w:cantSplit w:val="0"/>
          <w:tblHeader w:val="0"/>
        </w:trPr>
        <w:tc>
          <w:tcPr>
            <w:vAlign w:val="center"/>
            <w:tcMar>
              <w:top w:w="75" w:type="dxa"/>
              <w:start w:w="110" w:type="dxa"/>
              <w:bottom w:w="75" w:type="dxa"/>
              <w:end w:w="110" w:type="dxa"/>
            </w:tcMa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tcMar>
              <w:top w:w="75" w:type="dxa"/>
              <w:bottom w:w="75" w:type="dxa"/>
              <w:start w:w="110" w:type="dxa"/>
              <w:end w:w="110" w:type="dxa"/>
            </w:tcMar>
            <w:vAlign w:val="center"/>
          </w:tcPr>
          <w:p w:rsidR="00000000" w:rsidDel="00000000" w:rsidP="00000000" w:rsidRDefault="00000000" w:rsidRPr="00000000" w14:paraId="00000013">
            <w:pPr>
              <w:spacing w:after="60" w:before="0" w:line="252.00000000000003" w:lineRule="auto"/>
              <w:jc w:val="left"/>
              <w:rPr/>
            </w:pPr>
            <w:r w:rsidDel="00000000" w:rsidR="00000000" w:rsidRPr="00000000">
              <w:rPr>
                <w:rFonts w:ascii="Arial" w:cs="Arial" w:eastAsia="Arial" w:hAnsi="Arial"/>
                <w:b w:val="0"/>
                <w:bCs w:val="0"/>
                <w:i w:val="0"/>
                <w:iCs w:val="0"/>
                <w:color w:val="000000"/>
                <w:sz w:val="21"/>
                <w:szCs w:val="21"/>
                <w:rtl w:val="0"/>
              </w:rPr>
              <w:t xml:space="preserve">Antonio Varas</w:t>
            </w: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vAlign w:val="center"/>
            <w:tcMar>
              <w:top w:w="75" w:type="dxa"/>
              <w:start w:w="110" w:type="dxa"/>
              <w:bottom w:w="75" w:type="dxa"/>
              <w:end w:w="110" w:type="dxa"/>
            </w:tcMa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blHeader w:val="0"/>
        </w:trPr>
        <w:tc>
          <w:tcPr>
            <w:shd w:fill="d9e2f3" w:val="clear"/>
            <w:vAlign w:val="center"/>
            <w:tcMar>
              <w:top w:w="75" w:type="dxa"/>
              <w:start w:w="110" w:type="dxa"/>
              <w:bottom w:w="75" w:type="dxa"/>
              <w:end w:w="110" w:type="dxa"/>
            </w:tcM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blHeader w:val="0"/>
        </w:trPr>
        <w:tc>
          <w:tcPr>
            <w:vAlign w:val="center"/>
            <w:tcMar>
              <w:top w:w="75" w:type="dxa"/>
              <w:start w:w="110" w:type="dxa"/>
              <w:bottom w:w="75" w:type="dxa"/>
              <w:end w:w="110" w:type="dxa"/>
            </w:tcMa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20"/>
              </w:rPr>
              <w:t>Sistema de Análisis y Anticipación de Demanda de Urgencia en Salud Mental para la Región Metropolitana</w:t>
              <w:br/>
              <w:t>(Nombre de la plataforma: por definir)</w:t>
            </w:r>
          </w:p>
        </w:tc>
      </w:tr>
      <w:tr>
        <w:trPr>
          <w:cantSplit w:val="0"/>
          <w:tblHeader w:val="0"/>
        </w:trPr>
        <w:tc>
          <w:tcPr>
            <w:vAlign w:val="center"/>
            <w:tcMar>
              <w:top w:w="75" w:type="dxa"/>
              <w:start w:w="110" w:type="dxa"/>
              <w:bottom w:w="75" w:type="dxa"/>
              <w:end w:w="110" w:type="dxa"/>
            </w:tcMa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20"/>
              </w:rPr>
              <w:t>Desarrollo de software; ingeniería y análisis de datos; modelamiento predictivo; análisis geoespacial; bases de datos; gestión de proyectos TI; calidad y gobernanza de datos.</w:t>
            </w:r>
          </w:p>
        </w:tc>
      </w:tr>
      <w:tr>
        <w:trPr>
          <w:cantSplit w:val="0"/>
          <w:tblHeader w:val="0"/>
        </w:trPr>
        <w:tc>
          <w:tcPr>
            <w:vAlign w:val="center"/>
            <w:tcMar>
              <w:top w:w="75" w:type="dxa"/>
              <w:start w:w="110" w:type="dxa"/>
              <w:bottom w:w="75" w:type="dxa"/>
              <w:end w:w="110" w:type="dxa"/>
            </w:tcMa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tcMar>
              <w:top w:w="75" w:type="dxa"/>
              <w:bottom w:w="75" w:type="dxa"/>
              <w:start w:w="110" w:type="dxa"/>
              <w:end w:w="110" w:type="dxa"/>
            </w:tcMar>
            <w:vAlign w:val="center"/>
          </w:tcPr>
          <w:p>
            <w:pPr>
              <w:numPr>
                <w:ilvl w:val="0"/>
                <w:numId w:val="2"/>
              </w:numPr>
              <w:spacing w:before="0" w:after="40" w:line="247" w:lineRule="auto"/>
            </w:pPr>
            <w:r>
              <w:rPr>
                <w:rFonts w:ascii="Arial" w:hAnsi="Arial"/>
                <w:b w:val="0"/>
                <w:i w:val="0"/>
                <w:color w:val="000000"/>
                <w:sz w:val="19"/>
              </w:rPr>
              <w:t>Levantar, analizar y priorizar requerimientos de usuarios y actores del dominio.</w:t>
            </w:r>
          </w:p>
          <w:p>
            <w:pPr>
              <w:numPr>
                <w:ilvl w:val="0"/>
                <w:numId w:val="2"/>
              </w:numPr>
              <w:spacing w:before="0" w:after="40" w:line="247" w:lineRule="auto"/>
            </w:pPr>
            <w:r>
              <w:rPr>
                <w:rFonts w:ascii="Arial" w:hAnsi="Arial"/>
                <w:b w:val="0"/>
                <w:i w:val="0"/>
                <w:color w:val="000000"/>
                <w:sz w:val="19"/>
              </w:rPr>
              <w:t>Diseñar e implementar una arquitectura de software, un modelo de datos y pipelines reproducibles.</w:t>
            </w:r>
          </w:p>
          <w:p>
            <w:pPr>
              <w:numPr>
                <w:ilvl w:val="0"/>
                <w:numId w:val="2"/>
              </w:numPr>
              <w:spacing w:before="0" w:after="40" w:line="247" w:lineRule="auto"/>
            </w:pPr>
            <w:r>
              <w:rPr>
                <w:rFonts w:ascii="Arial" w:hAnsi="Arial"/>
                <w:b w:val="0"/>
                <w:i w:val="0"/>
                <w:color w:val="000000"/>
                <w:sz w:val="19"/>
              </w:rPr>
              <w:t>Integrar, depurar, analizar y visualizar datos sanitarios y territoriales.</w:t>
            </w:r>
          </w:p>
          <w:p>
            <w:pPr>
              <w:numPr>
                <w:ilvl w:val="0"/>
                <w:numId w:val="2"/>
              </w:numPr>
              <w:spacing w:before="0" w:after="40" w:line="247" w:lineRule="auto"/>
            </w:pPr>
            <w:r>
              <w:rPr>
                <w:rFonts w:ascii="Arial" w:hAnsi="Arial"/>
                <w:b w:val="0"/>
                <w:i w:val="0"/>
                <w:color w:val="000000"/>
                <w:sz w:val="19"/>
              </w:rPr>
              <w:t>Construir y evaluar modelos predictivos con métricas, backtesting y baselines explícitos.</w:t>
            </w:r>
          </w:p>
          <w:p>
            <w:pPr>
              <w:numPr>
                <w:ilvl w:val="0"/>
                <w:numId w:val="2"/>
              </w:numPr>
              <w:spacing w:before="0" w:after="40" w:line="247" w:lineRule="auto"/>
            </w:pPr>
            <w:r>
              <w:rPr>
                <w:rFonts w:ascii="Arial" w:hAnsi="Arial"/>
                <w:b w:val="0"/>
                <w:i w:val="0"/>
                <w:color w:val="000000"/>
                <w:sz w:val="19"/>
              </w:rPr>
              <w:t>Aplicar control de versiones, pruebas, documentación, trazabilidad, seguridad y gestión ágil del proyecto.</w:t>
            </w:r>
          </w:p>
        </w:tc>
      </w:tr>
    </w:tbl>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vAlign w:val="center"/>
            <w:tcMar>
              <w:top w:w="75" w:type="dxa"/>
              <w:start w:w="110" w:type="dxa"/>
              <w:bottom w:w="75" w:type="dxa"/>
              <w:end w:w="110" w:type="dxa"/>
            </w:tcMa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blHeader w:val="0"/>
        </w:trPr>
        <w:tc>
          <w:tcPr>
            <w:shd w:fill="d9e2f3" w:val="clear"/>
            <w:vAlign w:val="center"/>
            <w:tcMar>
              <w:top w:w="75" w:type="dxa"/>
              <w:start w:w="110" w:type="dxa"/>
              <w:bottom w:w="75" w:type="dxa"/>
              <w:end w:w="110" w:type="dxa"/>
            </w:tcM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blHeader w:val="0"/>
        </w:trPr>
        <w:tc>
          <w:tcPr>
            <w:vAlign w:val="center"/>
            <w:tcMar>
              <w:top w:w="75" w:type="dxa"/>
              <w:start w:w="110" w:type="dxa"/>
              <w:bottom w:w="75" w:type="dxa"/>
              <w:end w:w="110" w:type="dxa"/>
            </w:tcMa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9"/>
              </w:rPr>
              <w:t>La red pública de urgencia responde a aumentos de demanda en salud mental principalmente cuando la presión ya se ha producido. Aunque existen datos oficiales, estos se publican en bases codificadas y separadas, lo que dificulta convertirlos en evidencia oportuna para la planificación. Además, la oferta de establecimientos, la demanda observada y las condiciones territoriales no se analizan de forma integrada, por lo que las comunas que combinan alta presión proyectada con baja accesibilidad efectiva permanecen poco visibles. La entrevista con la psicóloga Belén Guzmán confirmó la importancia de contar con mejor información para responder a crisis, pero también permitió reconocer que una plataforma de cupos en tiempo real exigiría captura masiva, estandarización y coordinación entre múltiples instituciones, probablemente con intervención estatal. Por ello, el equipo acotó el proyecto a un instrumento analítico realizable con datos públicos, capaz de anticipar demanda, territorializar brechas y aportar evidencia sobre hospitalización psiquiátrica.</w:t>
            </w:r>
          </w:p>
        </w:tc>
      </w:tr>
      <w:tr>
        <w:trPr>
          <w:cantSplit w:val="0"/>
          <w:tblHeader w:val="0"/>
        </w:trPr>
        <w:tc>
          <w:tcPr>
            <w:vAlign w:val="center"/>
            <w:tcMar>
              <w:top w:w="75" w:type="dxa"/>
              <w:start w:w="110" w:type="dxa"/>
              <w:bottom w:w="75" w:type="dxa"/>
              <w:end w:w="110" w:type="dxa"/>
            </w:tcMa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9"/>
              </w:rPr>
              <w:t>Se desarrollará una plataforma analítica web para la Región Metropolitana que integre dos fuentes oficiales del DEIS/MINSAL y fuentes territoriales auxiliares. El primer componente modelará atenciones de urgencia por causas de salud mental, con resolución semanal y por establecimiento, para proyectar demanda a 4–8 semanas con intervalos de predicción y backtesting frente a un baseline estacional ingenuo. El segundo georreferenciará establecimientos de urgencia, calculará isócronas sobre red vial OSM y transporte público GTFS, estimará cobertura poblacional por comuna y cruzará accesibilidad, vulnerabilidad y demanda proyectada. El tercero analizará egresos hospitalarios individuales disociados para caracterizar los determinantes de la duración de estadía en diagnósticos F00–F99, considerando diagnóstico, edad, previsión, pertenencia al SNSS y condición de egreso. El resultado será un instrumento de apoyo que responda dónde y cuándo se concentra la presión y qué territorios quedan peor cubiertos, no un dashboard meramente descriptivo.</w:t>
            </w:r>
          </w:p>
        </w:tc>
      </w:tr>
      <w:tr>
        <w:trPr>
          <w:cantSplit w:val="0"/>
          <w:tblHeader w:val="0"/>
        </w:trPr>
        <w:tc>
          <w:tcPr>
            <w:vAlign w:val="center"/>
            <w:tcMar>
              <w:top w:w="75" w:type="dxa"/>
              <w:start w:w="110" w:type="dxa"/>
              <w:bottom w:w="75" w:type="dxa"/>
              <w:end w:w="110" w:type="dxa"/>
            </w:tcMa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9"/>
              </w:rPr>
              <w:t>El proyecto integra competencias centrales de Ingeniería en Informática: levantamiento de requerimientos, arquitectura y desarrollo web, programación, bases de datos, ingeniería de datos, analítica predictiva, integración de servicios geoespaciales, visualización, pruebas y documentación. También exige trazabilidad, auditoría de calidad, manejo responsable de datos y comunicación transparente de supuestos y limitaciones. La solución transforma datos reales en un producto funcional, reproducible y evaluable de punta a punta.</w:t>
            </w:r>
          </w:p>
        </w:tc>
      </w:tr>
      <w:tr>
        <w:trPr>
          <w:cantSplit w:val="0"/>
          <w:tblHeader w:val="0"/>
        </w:trPr>
        <w:tc>
          <w:tcPr>
            <w:vAlign w:val="center"/>
            <w:tcMar>
              <w:top w:w="75" w:type="dxa"/>
              <w:start w:w="110" w:type="dxa"/>
              <w:bottom w:w="75" w:type="dxa"/>
              <w:end w:w="110" w:type="dxa"/>
            </w:tcMa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9"/>
              </w:rPr>
              <w:t>Se relaciona directamente con mis intereses en Data &amp; AI, cloud, gobernanza de datos, business intelligence y productos digitales basados en evidencia. Mi experiencia con SQL, Python, BigQuery, Dataform, Looker Studio, AWS y desarrollo web me permite aportar especialmente en integración, modelamiento, visualización y aseguramiento de calidad. A la vez, el proyecto me permitirá fortalecer series de tiempo, análisis geoespacial, evaluación de modelos, arquitectura full-stack, APIs, despliegue y validación con usuarios.</w:t>
            </w:r>
          </w:p>
        </w:tc>
      </w:tr>
      <w:tr>
        <w:trPr>
          <w:cantSplit w:val="0"/>
          <w:tblHeader w:val="0"/>
        </w:trPr>
        <w:tc>
          <w:tcPr>
            <w:vAlign w:val="center"/>
            <w:tcMar>
              <w:top w:w="75" w:type="dxa"/>
              <w:start w:w="110" w:type="dxa"/>
              <w:bottom w:w="75" w:type="dxa"/>
              <w:end w:w="110" w:type="dxa"/>
            </w:tcMa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9"/>
              </w:rPr>
              <w:t>El alcance es factible durante un semestre de 18 semanas porque se limita a la Región Metropolitana, utiliza dos bases DEIS/MINSAL ya disponibles, trabaja con datos agregados o disociados y no depende de obtener fichas clínicas ni cupos institucionales en tiempo real. El cliente piloto será un profesional accesible de salud mental, atención primaria, urgencia o planificación de la red pública —aún por confirmar—; los potenciales usuarios futuros incluyen Servicios de Salud, hospitales y unidades de planificación del MINSAL. Los principales riesgos son subregistro y diferencias de calidad entre establecimientos, la serie de urgencias disponible solo desde 2021, tramos etarios amplios, granularidades no enlazables entre urgencias y egresos, y complejidad del cálculo geoespacial. Se mitigarán mediante perfilado y reglas de calidad, diccionario de datos, trazabilidad, validación de resolución diagnóstica, diseño modular, backtesting y declaración explícita de que el cruce urgencia–egresos es ecológico.</w:t>
            </w:r>
          </w:p>
        </w:tc>
      </w:tr>
    </w:tbl>
    <w:p w:rsidR="00000000" w:rsidDel="00000000" w:rsidP="00000000" w:rsidRDefault="00000000" w:rsidRPr="00000000" w14:paraId="00000031">
      <w:pPr>
        <w:rPr>
          <w:b w:val="1"/>
          <w:bCs w:val="1"/>
          <w:color w:val="4472c4"/>
          <w:sz w:val="32"/>
          <w:szCs w:val="32"/>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vAlign w:val="center"/>
            <w:tcMar>
              <w:top w:w="75" w:type="dxa"/>
              <w:start w:w="110" w:type="dxa"/>
              <w:bottom w:w="75" w:type="dxa"/>
              <w:end w:w="110" w:type="dxa"/>
            </w:tcMar>
          </w:tcPr>
          <w:p w:rsidR="00000000" w:rsidDel="00000000" w:rsidP="00000000" w:rsidRDefault="00000000" w:rsidRPr="00000000" w14:paraId="00000033">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blHeader w:val="0"/>
        </w:trPr>
        <w:tc>
          <w:tcPr>
            <w:shd w:fill="d9e2f3" w:val="clear"/>
            <w:vAlign w:val="center"/>
            <w:tcMar>
              <w:top w:w="75" w:type="dxa"/>
              <w:start w:w="110" w:type="dxa"/>
              <w:bottom w:w="75" w:type="dxa"/>
              <w:end w:w="110" w:type="dxa"/>
            </w:tcM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blHeader w:val="0"/>
        </w:trPr>
        <w:tc>
          <w:tcPr>
            <w:vAlign w:val="center"/>
            <w:tcMar>
              <w:top w:w="75" w:type="dxa"/>
              <w:start w:w="110" w:type="dxa"/>
              <w:bottom w:w="75" w:type="dxa"/>
              <w:end w:w="110" w:type="dxa"/>
            </w:tcMa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20"/>
              </w:rPr>
              <w:t>Desarrollar y validar una plataforma analítica web para la Región Metropolitana que integre datos oficiales de urgencias y egresos hospitalarios en salud mental, anticipe la demanda a corto plazo, identifique brechas territoriales de accesibilidad y caracterice los factores asociados a la duración de hospitalización, como apoyo a la planificación de la red.</w:t>
            </w:r>
          </w:p>
        </w:tc>
      </w:tr>
      <w:tr>
        <w:trPr>
          <w:cantSplit w:val="0"/>
          <w:tblHeader w:val="0"/>
        </w:trPr>
        <w:tc>
          <w:tcPr>
            <w:vAlign w:val="center"/>
            <w:tcMar>
              <w:top w:w="75" w:type="dxa"/>
              <w:start w:w="110" w:type="dxa"/>
              <w:bottom w:w="75" w:type="dxa"/>
              <w:end w:w="110" w:type="dxa"/>
            </w:tcMa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tcMar>
              <w:top w:w="75" w:type="dxa"/>
              <w:bottom w:w="75" w:type="dxa"/>
              <w:start w:w="110" w:type="dxa"/>
              <w:end w:w="110" w:type="dxa"/>
            </w:tcMar>
            <w:vAlign w:val="center"/>
          </w:tcPr>
          <w:p>
            <w:pPr>
              <w:numPr>
                <w:ilvl w:val="0"/>
                <w:numId w:val="3"/>
              </w:numPr>
              <w:spacing w:before="0" w:after="40" w:line="247" w:lineRule="auto"/>
            </w:pPr>
            <w:r>
              <w:rPr>
                <w:rFonts w:ascii="Arial" w:hAnsi="Arial"/>
                <w:b w:val="0"/>
                <w:i w:val="0"/>
                <w:color w:val="000000"/>
                <w:sz w:val="19"/>
              </w:rPr>
              <w:t>Levantar y validar requerimientos, usuarios, decisiones de uso, criterios de éxito y restricciones del proyecto con la docente y un cliente piloto del dominio.</w:t>
            </w:r>
          </w:p>
          <w:p>
            <w:pPr>
              <w:numPr>
                <w:ilvl w:val="0"/>
                <w:numId w:val="3"/>
              </w:numPr>
              <w:spacing w:before="0" w:after="40" w:line="247" w:lineRule="auto"/>
            </w:pPr>
            <w:r>
              <w:rPr>
                <w:rFonts w:ascii="Arial" w:hAnsi="Arial"/>
                <w:b w:val="0"/>
                <w:i w:val="0"/>
                <w:color w:val="000000"/>
                <w:sz w:val="19"/>
              </w:rPr>
              <w:t>Auditar, limpiar, documentar e integrar las dos bases DEIS/MINSAL, junto con los insumos geoespaciales y territoriales auxiliares.</w:t>
            </w:r>
          </w:p>
          <w:p>
            <w:pPr>
              <w:numPr>
                <w:ilvl w:val="0"/>
                <w:numId w:val="3"/>
              </w:numPr>
              <w:spacing w:before="0" w:after="40" w:line="247" w:lineRule="auto"/>
            </w:pPr>
            <w:r>
              <w:rPr>
                <w:rFonts w:ascii="Arial" w:hAnsi="Arial"/>
                <w:b w:val="0"/>
                <w:i w:val="0"/>
                <w:color w:val="000000"/>
                <w:sz w:val="19"/>
              </w:rPr>
              <w:t>Construir y evaluar un modelo de proyección de demanda de urgencia en salud mental a 4–8 semanas, con intervalos de predicción y comparación contra un baseline estacional ingenuo.</w:t>
            </w:r>
          </w:p>
          <w:p>
            <w:pPr>
              <w:numPr>
                <w:ilvl w:val="0"/>
                <w:numId w:val="3"/>
              </w:numPr>
              <w:spacing w:before="0" w:after="40" w:line="247" w:lineRule="auto"/>
            </w:pPr>
            <w:r>
              <w:rPr>
                <w:rFonts w:ascii="Arial" w:hAnsi="Arial"/>
                <w:b w:val="0"/>
                <w:i w:val="0"/>
                <w:color w:val="000000"/>
                <w:sz w:val="19"/>
              </w:rPr>
              <w:t>Implementar una capa geoespacial de accesibilidad mediante georreferenciación, isócronas OSM/GTFS y estimación de cobertura poblacional y vulnerabilidad por comuna.</w:t>
            </w:r>
          </w:p>
          <w:p>
            <w:pPr>
              <w:numPr>
                <w:ilvl w:val="0"/>
                <w:numId w:val="3"/>
              </w:numPr>
              <w:spacing w:before="0" w:after="40" w:line="247" w:lineRule="auto"/>
            </w:pPr>
            <w:r>
              <w:rPr>
                <w:rFonts w:ascii="Arial" w:hAnsi="Arial"/>
                <w:b w:val="0"/>
                <w:i w:val="0"/>
                <w:color w:val="000000"/>
                <w:sz w:val="19"/>
              </w:rPr>
              <w:t>Analizar los determinantes de la duración de estadía en egresos con diagnósticos F00–F99 y examinar diferencias asociadas a previsión y pertenencia al SNSS.</w:t>
            </w:r>
          </w:p>
          <w:p>
            <w:pPr>
              <w:numPr>
                <w:ilvl w:val="0"/>
                <w:numId w:val="3"/>
              </w:numPr>
              <w:spacing w:before="0" w:after="40" w:line="247" w:lineRule="auto"/>
            </w:pPr>
            <w:r>
              <w:rPr>
                <w:rFonts w:ascii="Arial" w:hAnsi="Arial"/>
                <w:b w:val="0"/>
                <w:i w:val="0"/>
                <w:color w:val="000000"/>
                <w:sz w:val="19"/>
              </w:rPr>
              <w:t>Integrar los resultados en una plataforma web, verificarla mediante pruebas técnicas y validar su utilidad y comprensión con usuarios, documentando supuestos, limitaciones y mejoras futuras.</w:t>
            </w:r>
          </w:p>
        </w:tc>
      </w:tr>
    </w:tbl>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vAlign w:val="center"/>
            <w:tcMar>
              <w:top w:w="75" w:type="dxa"/>
              <w:start w:w="110" w:type="dxa"/>
              <w:bottom w:w="75" w:type="dxa"/>
              <w:end w:w="110" w:type="dxa"/>
            </w:tcMar>
          </w:tcPr>
          <w:p w:rsidR="00000000" w:rsidDel="00000000" w:rsidP="00000000" w:rsidRDefault="00000000" w:rsidRPr="00000000" w14:paraId="00000041">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blHeader w:val="0"/>
        </w:trPr>
        <w:tc>
          <w:tcPr>
            <w:shd w:fill="d9e2f3" w:val="clear"/>
            <w:vAlign w:val="center"/>
            <w:tcMar>
              <w:top w:w="75" w:type="dxa"/>
              <w:start w:w="110" w:type="dxa"/>
              <w:bottom w:w="75" w:type="dxa"/>
              <w:end w:w="110" w:type="dxa"/>
            </w:tcM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tcMar>
              <w:top w:w="75" w:type="dxa"/>
              <w:start w:w="110" w:type="dxa"/>
              <w:bottom w:w="75" w:type="dxa"/>
              <w:end w:w="110" w:type="dxa"/>
            </w:tcMar>
          </w:tcPr>
          <w:p w:rsidR="00000000" w:rsidDel="00000000" w:rsidP="00000000" w:rsidRDefault="00000000" w:rsidRPr="00000000" w14:paraId="0000004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blHeader w:val="0"/>
        </w:trPr>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20"/>
              </w:rPr>
              <w:t>Se utilizará una metodología ágil e iterativa, gestionada mediante Kanban en GitHub Projects y vinculada al repositorio del proyecto. El trabajo combinará prácticas de ingeniería de software con un ciclo de datos inspirado en CRISP-DM: comprensión del problema y de los datos; auditoría y preparación; modelamiento; evaluación; implementación; y validación.</w:t>
              <w:br/>
              <w:br/>
              <w:t>Etapas: (1) validar alcance, cliente piloto, requisitos y criterios de éxito; (2) perfilar y preparar las fuentes, definir arquitectura, modelo de datos y prototipo; (3) construir incrementalmente el pipeline, el modelo de demanda, la capa geoespacial, el análisis de hospitalización y la aplicación web; (4) integrar, probar, validar con usuarios, desplegar y documentar.</w:t>
              <w:br/>
              <w:br/>
              <w:t>El tablero contendrá backlog, responsables, prioridad, estado, criterios de aceptación y evidencias. La división nominal de tareas se realizará después de validar el alcance con la profesora.</w:t>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blHeader w:val="0"/>
        </w:trPr>
        <w:tc>
          <w:tcPr>
            <w:vAlign w:val="center"/>
            <w:tcMar>
              <w:top w:w="75" w:type="dxa"/>
              <w:start w:w="110" w:type="dxa"/>
              <w:bottom w:w="75" w:type="dxa"/>
              <w:end w:w="110" w:type="dxa"/>
            </w:tcMar>
          </w:tcPr>
          <w:p w:rsidR="00000000" w:rsidDel="00000000" w:rsidP="00000000" w:rsidRDefault="00000000" w:rsidRPr="00000000" w14:paraId="0000004A">
            <w:pPr>
              <w:rPr>
                <w:b w:val="1"/>
                <w:bCs w:val="1"/>
                <w:color w:val="1f3864"/>
                <w:sz w:val="28"/>
                <w:szCs w:val="28"/>
              </w:rPr>
            </w:pPr>
            <w:r w:rsidDel="00000000" w:rsidR="00000000" w:rsidRPr="00000000">
              <w:rPr>
                <w:b w:val="1"/>
                <w:bCs w:val="1"/>
                <w:color w:val="1f3864"/>
                <w:sz w:val="28"/>
                <w:szCs w:val="28"/>
                <w:rtl w:val="0"/>
              </w:rPr>
              <w:t xml:space="preserve">6. Evidencias - Definir con la Cindy</w:t>
            </w:r>
          </w:p>
        </w:tc>
      </w:tr>
      <w:tr>
        <w:trPr>
          <w:cantSplit w:val="0"/>
          <w:tblHeader w:val="0"/>
        </w:trPr>
        <w:tc>
          <w:tcPr>
            <w:shd w:fill="d9e2f3" w:val="clear"/>
            <w:vAlign w:val="center"/>
            <w:tcMar>
              <w:top w:w="75" w:type="dxa"/>
              <w:start w:w="110" w:type="dxa"/>
              <w:bottom w:w="75" w:type="dxa"/>
              <w:end w:w="110" w:type="dxa"/>
            </w:tcMar>
          </w:tcPr>
          <w:p w:rsidR="00000000" w:rsidDel="00000000" w:rsidP="00000000" w:rsidRDefault="00000000" w:rsidRPr="00000000" w14:paraId="0000004B">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blHeader w:val="1"/>
        </w:trPr>
        <w:tc>
          <w:tcPr>
            <w:vAlign w:val="center"/>
            <w:tcMar>
              <w:top w:w="75" w:type="dxa"/>
              <w:start w:w="110" w:type="dxa"/>
              <w:bottom w:w="75" w:type="dxa"/>
              <w:end w:w="110" w:type="dxa"/>
            </w:tcM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Mar>
              <w:top w:w="75" w:type="dxa"/>
              <w:start w:w="110" w:type="dxa"/>
              <w:bottom w:w="75" w:type="dxa"/>
              <w:end w:w="110" w:type="dxa"/>
            </w:tcMa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Mar>
              <w:top w:w="75" w:type="dxa"/>
              <w:start w:w="110" w:type="dxa"/>
              <w:bottom w:w="75" w:type="dxa"/>
              <w:end w:w="110" w:type="dxa"/>
            </w:tcMa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Mar>
              <w:top w:w="75" w:type="dxa"/>
              <w:start w:w="110" w:type="dxa"/>
              <w:bottom w:w="75" w:type="dxa"/>
              <w:end w:w="110" w:type="dxa"/>
            </w:tcMa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blHeader w:val="0"/>
        </w:trPr>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8"/>
              </w:rPr>
              <w:t>Avance</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8"/>
              </w:rPr>
              <w:t>Definición, cliente y requisitos</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7"/>
              </w:rPr>
              <w:t>Problema, usuarios, cliente piloto, alcance, historias de usuario, criterios de aceptación, riesgos y restricciones.</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7"/>
              </w:rPr>
              <w:t>Demuestra que la solución responde a una necesidad validada y mantiene un alcance realizable.</w:t>
            </w:r>
          </w:p>
        </w:tc>
      </w:tr>
      <w:tr>
        <w:trPr>
          <w:cantSplit w:val="0"/>
          <w:tblHeader w:val="0"/>
        </w:trPr>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8"/>
              </w:rPr>
              <w:t>Avance</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8"/>
              </w:rPr>
              <w:t>Auditoría y modelo de datos</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7"/>
              </w:rPr>
              <w:t>Inventario de fuentes, diccionario, perfilado de calidad, resolución diagnóstica, reglas de limpieza, modelo lógico/físico y trazabilidad.</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7"/>
              </w:rPr>
              <w:t>Evidencia factibilidad, comprensión del dato y tratamiento explícito del subregistro y otras limitaciones.</w:t>
            </w:r>
          </w:p>
        </w:tc>
      </w:tr>
      <w:tr>
        <w:trPr>
          <w:cantSplit w:val="0"/>
          <w:tblHeader w:val="0"/>
        </w:trPr>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8"/>
              </w:rPr>
              <w:t>Avance</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8"/>
              </w:rPr>
              <w:t>Prototipo, arquitectura y plan analítico</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7"/>
              </w:rPr>
              <w:t>Flujos y wireframes; arquitectura de datos y software; diseño de backtesting, isócronas y análisis de estadía.</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7"/>
              </w:rPr>
              <w:t>Permite validar tempranamente el producto y los métodos antes de completar la construcción.</w:t>
            </w:r>
          </w:p>
        </w:tc>
      </w:tr>
      <w:tr>
        <w:trPr>
          <w:cantSplit w:val="0"/>
          <w:tblHeader w:val="0"/>
        </w:trPr>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8"/>
              </w:rPr>
              <w:t>Final</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8"/>
              </w:rPr>
              <w:t>Repositorio y pipeline reproducible</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7"/>
              </w:rPr>
              <w:t>Código versionado de ingesta, transformación, pruebas de datos, documentación de ejecución y artefactos de despliegue.</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7"/>
              </w:rPr>
              <w:t>Demuestra implementación técnica, auditabilidad y reproducibilidad de punta a punta.</w:t>
            </w:r>
          </w:p>
        </w:tc>
      </w:tr>
      <w:tr>
        <w:trPr>
          <w:cantSplit w:val="0"/>
          <w:tblHeader w:val="0"/>
        </w:trPr>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8"/>
              </w:rPr>
              <w:t>Final</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8"/>
              </w:rPr>
              <w:t>Modelos y plataforma integrada</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7"/>
              </w:rPr>
              <w:t>Pronóstico evaluado, mapa de accesibilidad y cobertura, caracterización de hospitalización e interfaz para explorar resultados.</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7"/>
              </w:rPr>
              <w:t>Constituye el producto funcional que materializa los tres componentes y el objetivo general.</w:t>
            </w:r>
          </w:p>
        </w:tc>
      </w:tr>
      <w:tr>
        <w:trPr>
          <w:cantSplit w:val="0"/>
          <w:tblHeader w:val="0"/>
        </w:trPr>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8"/>
              </w:rPr>
              <w:t>Final</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8"/>
              </w:rPr>
              <w:t>Informe de pruebas y validación</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7"/>
              </w:rPr>
              <w:t>Resultados de QA, evaluación de modelos, usabilidad, retroalimentación del cliente piloto, limitaciones y backlog futuro.</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7"/>
              </w:rPr>
              <w:t>Permite contrastar el resultado con criterios de éxito y fundamentar conclusiones sin sobreprometer.</w:t>
            </w:r>
          </w:p>
        </w:tc>
      </w:tr>
    </w:tbl>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blHeader w:val="0"/>
        </w:trPr>
        <w:tc>
          <w:tcPr>
            <w:vAlign w:val="center"/>
            <w:tcMar>
              <w:top w:w="75" w:type="dxa"/>
              <w:start w:w="110" w:type="dxa"/>
              <w:bottom w:w="75" w:type="dxa"/>
              <w:end w:w="110" w:type="dxa"/>
            </w:tcMar>
          </w:tcPr>
          <w:p w:rsidR="00000000" w:rsidDel="00000000" w:rsidP="00000000" w:rsidRDefault="00000000" w:rsidRPr="00000000" w14:paraId="0000006B">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blHeader w:val="0"/>
        </w:trPr>
        <w:tc>
          <w:tcPr>
            <w:shd w:fill="d9e2f3" w:val="clear"/>
            <w:vAlign w:val="center"/>
            <w:tcMar>
              <w:top w:w="75" w:type="dxa"/>
              <w:start w:w="110" w:type="dxa"/>
              <w:bottom w:w="75" w:type="dxa"/>
              <w:end w:w="110" w:type="dxa"/>
            </w:tcMa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Mar>
              <w:top w:w="75" w:type="dxa"/>
              <w:start w:w="110" w:type="dxa"/>
              <w:bottom w:w="75" w:type="dxa"/>
              <w:end w:w="110" w:type="dxa"/>
            </w:tcMar>
          </w:tcPr>
          <w:p w:rsidR="00000000" w:rsidDel="00000000" w:rsidP="00000000" w:rsidRDefault="00000000" w:rsidRPr="00000000" w14:paraId="0000006E">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1"/>
        </w:trPr>
        <w:tc>
          <w:tcPr>
            <w:tcMar>
              <w:top w:w="75" w:type="dxa"/>
              <w:start w:w="110" w:type="dxa"/>
              <w:bottom w:w="75" w:type="dxa"/>
              <w:end w:w="110" w:type="dxa"/>
            </w:tcMar>
          </w:tcPr>
          <w:p w:rsidR="00000000" w:rsidDel="00000000" w:rsidP="00000000" w:rsidRDefault="00000000" w:rsidRPr="00000000" w14:paraId="0000007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Mar>
              <w:top w:w="75" w:type="dxa"/>
              <w:start w:w="110" w:type="dxa"/>
              <w:bottom w:w="75" w:type="dxa"/>
              <w:end w:w="110" w:type="dxa"/>
            </w:tcMar>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Mar>
              <w:top w:w="75" w:type="dxa"/>
              <w:start w:w="110" w:type="dxa"/>
              <w:bottom w:w="75" w:type="dxa"/>
              <w:end w:w="110" w:type="dxa"/>
            </w:tcMar>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Mar>
              <w:top w:w="75" w:type="dxa"/>
              <w:start w:w="110" w:type="dxa"/>
              <w:bottom w:w="75" w:type="dxa"/>
              <w:end w:w="110" w:type="dxa"/>
            </w:tcMar>
          </w:tcPr>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Mar>
              <w:top w:w="75" w:type="dxa"/>
              <w:start w:w="110" w:type="dxa"/>
              <w:bottom w:w="75" w:type="dxa"/>
              <w:end w:w="110" w:type="dxa"/>
            </w:tcMar>
          </w:tcPr>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A">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Mar>
              <w:top w:w="75" w:type="dxa"/>
              <w:start w:w="110" w:type="dxa"/>
              <w:bottom w:w="75" w:type="dxa"/>
              <w:end w:w="110" w:type="dxa"/>
            </w:tcMar>
          </w:tcPr>
          <w:p w:rsidR="00000000" w:rsidDel="00000000" w:rsidP="00000000" w:rsidRDefault="00000000" w:rsidRPr="00000000" w14:paraId="0000007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Mar>
              <w:top w:w="75" w:type="dxa"/>
              <w:start w:w="110" w:type="dxa"/>
              <w:bottom w:w="75" w:type="dxa"/>
              <w:end w:w="110" w:type="dxa"/>
            </w:tcMar>
          </w:tcPr>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cantSplit/>
        </w:trPr>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Requisitos y gestión</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Validación de alcance</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Consolidar problema, usuarios, cliente piloto, requisitos, criterios de éxito y riesgos.</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Meet, bitácora, GitHub Projects</w:t>
            </w:r>
          </w:p>
        </w:tc>
        <w:tc>
          <w:tcPr>
            <w:tcBorders>
              <w:right w:color="ffffff" w:space="0" w:sz="4" w:val="single"/>
            </w:tcBorders>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S1–S3</w:t>
            </w:r>
          </w:p>
        </w:tc>
        <w:tc>
          <w:tcPr>
            <w:tcBorders>
              <w:left w:color="ffffff" w:space="0" w:sz="4" w:val="single"/>
            </w:tcBorders>
            <w:shd w:fill="d9d9d9"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Camila / equipo APT</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Validar con la profesora antes de dividir el trabajo.</w:t>
            </w:r>
          </w:p>
        </w:tc>
      </w:tr>
      <w:tr>
        <w:trPr>
          <w:cantSplit w:val="0"/>
          <w:tblHeader w:val="0"/>
          <w:cantSplit/>
        </w:trPr>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Datos y calidad</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Auditoría de fuentes</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Perfilar las dos bases DEIS/MINSAL; revisar cobertura, subregistro, resolución diagnóstica y diccionario.</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Python, SQL, DEIS</w:t>
            </w:r>
          </w:p>
        </w:tc>
        <w:tc>
          <w:tcPr>
            <w:tcBorders>
              <w:right w:color="ffffff" w:space="0" w:sz="4" w:val="single"/>
            </w:tcBorders>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S2–S4</w:t>
            </w:r>
          </w:p>
        </w:tc>
        <w:tc>
          <w:tcPr>
            <w:tcBorders>
              <w:left w:color="ffffff" w:space="0" w:sz="4" w:val="single"/>
            </w:tcBorders>
            <w:shd w:fill="d9d9d9"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Camila / equipo APT</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Confirmar qué diagnósticos y establecimientos permiten modelar.</w:t>
            </w:r>
          </w:p>
        </w:tc>
      </w:tr>
      <w:tr>
        <w:trPr>
          <w:cantSplit w:val="0"/>
          <w:tblHeader w:val="0"/>
          <w:cantSplit/>
        </w:trPr>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Diseño de software</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Prototipo y arquitectura</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Diseñar flujos, arquitectura, modelo de datos, componentes, API y criterios de seguridad.</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Figma/diagramas, Git</w:t>
            </w:r>
          </w:p>
        </w:tc>
        <w:tc>
          <w:tcPr>
            <w:tcBorders>
              <w:right w:color="ffffff" w:space="0" w:sz="4" w:val="single"/>
            </w:tcBorders>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S3–S5</w:t>
            </w:r>
          </w:p>
        </w:tc>
        <w:tc>
          <w:tcPr>
            <w:tcBorders>
              <w:left w:color="ffffff" w:space="0" w:sz="4" w:val="single"/>
            </w:tcBorders>
            <w:shd w:fill="d9d9d9"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Equipo APT</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Nombre de la plataforma pendiente.</w:t>
            </w:r>
          </w:p>
        </w:tc>
      </w:tr>
      <w:tr>
        <w:trPr>
          <w:cantSplit w:val="0"/>
          <w:tblHeader w:val="0"/>
          <w:cantSplit/>
        </w:trPr>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Ingeniería de datos</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Pipeline reproducible</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Implementar ingesta, limpieza, normalización, agregaciones, trazabilidad y pruebas de datos.</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Python, SQL, BD/cloud</w:t>
            </w:r>
          </w:p>
        </w:tc>
        <w:tc>
          <w:tcPr>
            <w:tcBorders>
              <w:right w:color="ffffff" w:space="0" w:sz="4" w:val="single"/>
            </w:tcBorders>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S4–S8</w:t>
            </w:r>
          </w:p>
        </w:tc>
        <w:tc>
          <w:tcPr>
            <w:tcBorders>
              <w:left w:color="ffffff" w:space="0" w:sz="4" w:val="single"/>
            </w:tcBorders>
            <w:shd w:fill="d9d9d9"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Equipo APT</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Mantener separadas las granularidades de urgencias y egresos.</w:t>
            </w:r>
          </w:p>
        </w:tc>
      </w:tr>
      <w:tr>
        <w:trPr>
          <w:cantSplit w:val="0"/>
          <w:tblHeader w:val="0"/>
          <w:cantSplit/>
        </w:trPr>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Data Science</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Modelo de demanda</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Entrenar y evaluar proyección a 4–8 semanas con intervalos, backtesting y baseline estacional.</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Python, series de tiempo</w:t>
            </w:r>
          </w:p>
        </w:tc>
        <w:tc>
          <w:tcPr>
            <w:tcBorders>
              <w:right w:color="ffffff" w:space="0" w:sz="4" w:val="single"/>
            </w:tcBorders>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S6–S10</w:t>
            </w:r>
          </w:p>
        </w:tc>
        <w:tc>
          <w:tcPr>
            <w:tcBorders>
              <w:left w:color="ffffff" w:space="0" w:sz="4" w:val="single"/>
            </w:tcBorders>
            <w:shd w:fill="d9d9d9"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Equipo APT</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Ajustar según longitud y calidad efectiva de la serie.</w:t>
            </w:r>
          </w:p>
        </w:tc>
      </w:tr>
      <w:tr>
        <w:trPr>
          <w:cantSplit w:val="0"/>
          <w:tblHeader w:val="0"/>
          <w:cantSplit/>
        </w:trPr>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Análisis geoespacial</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Accesibilidad territorial</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Georreferenciar establecimientos, calcular isócronas OSM/GTFS y estimar cobertura y brechas comunales.</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OSM, GTFS, GIS, Python</w:t>
            </w:r>
          </w:p>
        </w:tc>
        <w:tc>
          <w:tcPr>
            <w:tcBorders>
              <w:right w:color="ffffff" w:space="0" w:sz="4" w:val="single"/>
            </w:tcBorders>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S6–S11</w:t>
            </w:r>
          </w:p>
        </w:tc>
        <w:tc>
          <w:tcPr>
            <w:tcBorders>
              <w:left w:color="ffffff" w:space="0" w:sz="4" w:val="single"/>
            </w:tcBorders>
            <w:shd w:fill="d9d9d9"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Equipo APT</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Priorizar tiempos de viaje reales y alcance RM.</w:t>
            </w:r>
          </w:p>
        </w:tc>
      </w:tr>
      <w:tr>
        <w:trPr>
          <w:cantSplit w:val="0"/>
          <w:tblHeader w:val="0"/>
          <w:cantSplit/>
        </w:trPr>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Analítica de salud</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Hospitalización psiquiátrica</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Caracterizar duración de estadía F00–F99 y analizar factores asociados y diferencias de equidad.</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Python/R, estadística</w:t>
            </w:r>
          </w:p>
        </w:tc>
        <w:tc>
          <w:tcPr>
            <w:tcBorders>
              <w:right w:color="ffffff" w:space="0" w:sz="4" w:val="single"/>
            </w:tcBorders>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S7–S11</w:t>
            </w:r>
          </w:p>
        </w:tc>
        <w:tc>
          <w:tcPr>
            <w:tcBorders>
              <w:left w:color="ffffff" w:space="0" w:sz="4" w:val="single"/>
            </w:tcBorders>
            <w:shd w:fill="d9d9d9"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Equipo APT</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Cruce con urgencias solo a nivel ecológico.</w:t>
            </w:r>
          </w:p>
        </w:tc>
      </w:tr>
      <w:tr>
        <w:trPr>
          <w:cantSplit w:val="0"/>
          <w:tblHeader w:val="0"/>
          <w:cantSplit/>
        </w:trPr>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Desarrollo</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Plataforma web integrada</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Construir backend/API e interfaz para explorar pronóstico, accesibilidad y hospitalización.</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Framework web, API, Git</w:t>
            </w:r>
          </w:p>
        </w:tc>
        <w:tc>
          <w:tcPr>
            <w:tcBorders>
              <w:right w:color="ffffff" w:space="0" w:sz="4" w:val="single"/>
            </w:tcBorders>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S9–S14</w:t>
            </w:r>
          </w:p>
        </w:tc>
        <w:tc>
          <w:tcPr>
            <w:tcBorders>
              <w:left w:color="ffffff" w:space="0" w:sz="4" w:val="single"/>
            </w:tcBorders>
            <w:shd w:fill="d9d9d9"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Equipo APT</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Evitar presentar el resultado como dashboard descriptivo.</w:t>
            </w:r>
          </w:p>
        </w:tc>
      </w:tr>
      <w:tr>
        <w:trPr>
          <w:cantSplit w:val="0"/>
          <w:tblHeader w:val="0"/>
          <w:cantSplit/>
        </w:trPr>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Calidad y validación</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Pruebas y validación</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Ejecutar pruebas de datos, modelo, API, interfaz y usabilidad; recoger feedback y ajustar.</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Casos de prueba, métricas, Meet</w:t>
            </w:r>
          </w:p>
        </w:tc>
        <w:tc>
          <w:tcPr>
            <w:tcBorders>
              <w:right w:color="ffffff" w:space="0" w:sz="4" w:val="single"/>
            </w:tcBorders>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S13–S16</w:t>
            </w:r>
          </w:p>
        </w:tc>
        <w:tc>
          <w:tcPr>
            <w:tcBorders>
              <w:left w:color="ffffff" w:space="0" w:sz="4" w:val="single"/>
            </w:tcBorders>
            <w:shd w:fill="d9d9d9"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Camila / equipo APT</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La disponibilidad del cliente puede afectar fechas.</w:t>
            </w:r>
          </w:p>
        </w:tc>
      </w:tr>
      <w:tr>
        <w:trPr>
          <w:cantSplit w:val="0"/>
          <w:tblHeader w:val="0"/>
          <w:cantSplit/>
        </w:trPr>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Cierre</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Despliegue y documentación</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Desplegar, documentar arquitectura y uso, cerrar resultados, limitaciones, presentación y backlog.</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Cloud/hosting, manuales, PPT</w:t>
            </w:r>
          </w:p>
        </w:tc>
        <w:tc>
          <w:tcPr>
            <w:tcBorders>
              <w:right w:color="ffffff" w:space="0" w:sz="4" w:val="single"/>
            </w:tcBorders>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S16–S18</w:t>
            </w:r>
          </w:p>
        </w:tc>
        <w:tc>
          <w:tcPr>
            <w:tcBorders>
              <w:left w:color="ffffff" w:space="0" w:sz="4" w:val="single"/>
            </w:tcBorders>
            <w:shd w:fill="d9d9d9"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Equipo APT</w:t>
            </w:r>
          </w:p>
        </w:tc>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5"/>
              </w:rPr>
              <w:t>Mantener alcance del MVP validado.</w:t>
            </w:r>
          </w:p>
        </w:tc>
      </w:tr>
    </w:tbl>
    <w:p w:rsidR="00000000" w:rsidDel="00000000" w:rsidP="00000000" w:rsidRDefault="00000000" w:rsidRPr="00000000" w14:paraId="000000C3">
      <w:pPr>
        <w:spacing w:after="0" w:line="360" w:lineRule="auto"/>
        <w:jc w:val="both"/>
        <w:rPr>
          <w:b w:val="1"/>
          <w:bCs w:val="1"/>
          <w:sz w:val="24"/>
          <w:szCs w:val="24"/>
        </w:rPr>
      </w:pPr>
      <w:r w:rsidDel="00000000" w:rsidR="00000000" w:rsidRPr="00000000">
        <w:br w:type="page"/>
      </w: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blHeader w:val="0"/>
        </w:trPr>
        <w:tc>
          <w:tcPr>
            <w:vAlign w:val="center"/>
            <w:tcMar>
              <w:top w:w="75" w:type="dxa"/>
              <w:start w:w="110" w:type="dxa"/>
              <w:bottom w:w="75" w:type="dxa"/>
              <w:end w:w="110" w:type="dxa"/>
            </w:tcMar>
          </w:tcPr>
          <w:p w:rsidR="00000000" w:rsidDel="00000000" w:rsidP="00000000" w:rsidRDefault="00000000" w:rsidRPr="00000000" w14:paraId="000000C4">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blHeader w:val="0"/>
        </w:trPr>
        <w:tc>
          <w:tcPr>
            <w:shd w:fill="d9e2f3" w:val="clear"/>
            <w:vAlign w:val="center"/>
            <w:tcMar>
              <w:top w:w="75" w:type="dxa"/>
              <w:start w:w="110" w:type="dxa"/>
              <w:bottom w:w="75" w:type="dxa"/>
              <w:end w:w="110" w:type="dxa"/>
            </w:tcMa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7">
      <w:pPr>
        <w:spacing w:after="0" w:line="360" w:lineRule="auto"/>
        <w:jc w:val="both"/>
        <w:rPr>
          <w:b w:val="1"/>
          <w:bCs w:val="1"/>
          <w:sz w:val="24"/>
          <w:szCs w:val="24"/>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420"/>
        <w:gridCol w:w="420"/>
        <w:gridCol w:w="420"/>
        <w:gridCol w:w="420"/>
        <w:gridCol w:w="420"/>
        <w:gridCol w:w="420"/>
        <w:gridCol w:w="420"/>
        <w:gridCol w:w="420"/>
        <w:gridCol w:w="420"/>
        <w:gridCol w:w="420"/>
        <w:gridCol w:w="420"/>
        <w:gridCol w:w="420"/>
        <w:gridCol w:w="420"/>
        <w:gridCol w:w="420"/>
        <w:gridCol w:w="420"/>
        <w:gridCol w:w="420"/>
        <w:gridCol w:w="420"/>
        <w:gridCol w:w="420"/>
        <w:tblGridChange w:id="0">
          <w:tblGrid>
            <w:gridCol w:w="1800"/>
            <w:gridCol w:w="420"/>
            <w:gridCol w:w="420"/>
            <w:gridCol w:w="420"/>
            <w:gridCol w:w="420"/>
            <w:gridCol w:w="420"/>
            <w:gridCol w:w="420"/>
            <w:gridCol w:w="420"/>
            <w:gridCol w:w="420"/>
            <w:gridCol w:w="420"/>
            <w:gridCol w:w="420"/>
            <w:gridCol w:w="420"/>
            <w:gridCol w:w="420"/>
            <w:gridCol w:w="420"/>
            <w:gridCol w:w="420"/>
            <w:gridCol w:w="420"/>
            <w:gridCol w:w="420"/>
            <w:gridCol w:w="420"/>
            <w:gridCol w:w="420"/>
          </w:tblGrid>
        </w:tblGridChange>
      </w:tblGrid>
      <w:tr>
        <w:trPr>
          <w:cantSplit w:val="0"/>
          <w:tblHeader w:val="0"/>
        </w:trPr>
        <w:tc>
          <w:tcPr>
            <w:vMerge w:val="restart"/>
            <w:tcMar>
              <w:top w:w="75" w:type="dxa"/>
              <w:bottom w:w="75" w:type="dxa"/>
              <w:start w:w="110" w:type="dxa"/>
              <w:end w:w="110" w:type="dxa"/>
            </w:tcMar>
            <w:vAlign w:val="center"/>
          </w:tcPr>
          <w:p w:rsidR="00000000" w:rsidDel="00000000" w:rsidP="00000000" w:rsidRDefault="00000000" w:rsidRPr="00000000" w14:paraId="000000C8">
            <w:pPr>
              <w:spacing w:after="60" w:before="0" w:line="252.00000000000003" w:lineRule="auto"/>
              <w:jc w:val="center"/>
              <w:rPr/>
            </w:pPr>
            <w:r w:rsidDel="00000000" w:rsidR="00000000" w:rsidRPr="00000000">
              <w:rPr>
                <w:rFonts w:ascii="Arial" w:cs="Arial" w:eastAsia="Arial" w:hAnsi="Arial"/>
                <w:b w:val="1"/>
                <w:bCs w:val="1"/>
                <w:i w:val="0"/>
                <w:iCs w:val="0"/>
                <w:color w:val="000000"/>
                <w:sz w:val="14"/>
                <w:szCs w:val="14"/>
                <w:rtl w:val="0"/>
              </w:rPr>
              <w:t xml:space="preserve">Actividad</w:t>
            </w:r>
            <w:r w:rsidDel="00000000" w:rsidR="00000000" w:rsidRPr="00000000">
              <w:rPr>
                <w:rtl w:val="0"/>
              </w:rPr>
            </w:r>
          </w:p>
        </w:tc>
        <w:tc>
          <w:tcPr>
            <w:gridSpan w:val="4"/>
            <w:shd w:fill="e2f0d9" w:val="clear"/>
            <w:tcMar>
              <w:top w:w="75" w:type="dxa"/>
              <w:bottom w:w="75" w:type="dxa"/>
              <w:start w:w="110" w:type="dxa"/>
              <w:end w:w="110" w:type="dxa"/>
            </w:tcMar>
            <w:vAlign w:val="center"/>
          </w:tcPr>
          <w:p w:rsidR="00000000" w:rsidDel="00000000" w:rsidP="00000000" w:rsidRDefault="00000000" w:rsidRPr="00000000" w14:paraId="000000C9">
            <w:pPr>
              <w:spacing w:after="60" w:before="0" w:line="252.00000000000003" w:lineRule="auto"/>
              <w:jc w:val="center"/>
              <w:rPr/>
            </w:pPr>
            <w:r w:rsidDel="00000000" w:rsidR="00000000" w:rsidRPr="00000000">
              <w:rPr>
                <w:rFonts w:ascii="Arial" w:cs="Arial" w:eastAsia="Arial" w:hAnsi="Arial"/>
                <w:b w:val="1"/>
                <w:bCs w:val="1"/>
                <w:i w:val="0"/>
                <w:iCs w:val="0"/>
                <w:color w:val="000000"/>
                <w:sz w:val="14"/>
                <w:szCs w:val="14"/>
                <w:rtl w:val="0"/>
              </w:rPr>
              <w:t xml:space="preserve">Fase 1</w:t>
            </w:r>
            <w:r w:rsidDel="00000000" w:rsidR="00000000" w:rsidRPr="00000000">
              <w:rPr>
                <w:rtl w:val="0"/>
              </w:rPr>
            </w:r>
          </w:p>
        </w:tc>
        <w:tc>
          <w:tcPr>
            <w:gridSpan w:val="11"/>
            <w:shd w:fill="fff2cc" w:val="clear"/>
            <w:tcMar>
              <w:top w:w="75" w:type="dxa"/>
              <w:bottom w:w="75" w:type="dxa"/>
              <w:start w:w="110" w:type="dxa"/>
              <w:end w:w="110" w:type="dxa"/>
            </w:tcMar>
            <w:vAlign w:val="center"/>
          </w:tcPr>
          <w:p w:rsidR="00000000" w:rsidDel="00000000" w:rsidP="00000000" w:rsidRDefault="00000000" w:rsidRPr="00000000" w14:paraId="000000CD">
            <w:pPr>
              <w:spacing w:after="60" w:before="0" w:line="252.00000000000003" w:lineRule="auto"/>
              <w:jc w:val="center"/>
              <w:rPr/>
            </w:pPr>
            <w:r w:rsidDel="00000000" w:rsidR="00000000" w:rsidRPr="00000000">
              <w:rPr>
                <w:rFonts w:ascii="Arial" w:cs="Arial" w:eastAsia="Arial" w:hAnsi="Arial"/>
                <w:b w:val="1"/>
                <w:bCs w:val="1"/>
                <w:i w:val="0"/>
                <w:iCs w:val="0"/>
                <w:color w:val="000000"/>
                <w:sz w:val="14"/>
                <w:szCs w:val="14"/>
                <w:rtl w:val="0"/>
              </w:rPr>
              <w:t xml:space="preserve">Fase 2</w:t>
            </w:r>
            <w:r w:rsidDel="00000000" w:rsidR="00000000" w:rsidRPr="00000000">
              <w:rPr>
                <w:rtl w:val="0"/>
              </w:rPr>
            </w:r>
          </w:p>
        </w:tc>
        <w:tc>
          <w:tcPr>
            <w:gridSpan w:val="3"/>
            <w:shd w:fill="fce4d6" w:val="clear"/>
            <w:tcMar>
              <w:top w:w="75" w:type="dxa"/>
              <w:bottom w:w="75" w:type="dxa"/>
              <w:start w:w="110" w:type="dxa"/>
              <w:end w:w="110" w:type="dxa"/>
            </w:tcMar>
            <w:vAlign w:val="center"/>
          </w:tcPr>
          <w:p w:rsidR="00000000" w:rsidDel="00000000" w:rsidP="00000000" w:rsidRDefault="00000000" w:rsidRPr="00000000" w14:paraId="000000D8">
            <w:pPr>
              <w:spacing w:after="60" w:before="0" w:line="252.00000000000003" w:lineRule="auto"/>
              <w:jc w:val="center"/>
              <w:rPr/>
            </w:pPr>
            <w:r w:rsidDel="00000000" w:rsidR="00000000" w:rsidRPr="00000000">
              <w:rPr>
                <w:rFonts w:ascii="Arial" w:cs="Arial" w:eastAsia="Arial" w:hAnsi="Arial"/>
                <w:b w:val="1"/>
                <w:bCs w:val="1"/>
                <w:i w:val="0"/>
                <w:iCs w:val="0"/>
                <w:color w:val="000000"/>
                <w:sz w:val="14"/>
                <w:szCs w:val="14"/>
                <w:rtl w:val="0"/>
              </w:rPr>
              <w:t xml:space="preserve">Fase 3</w:t>
            </w:r>
            <w:r w:rsidDel="00000000" w:rsidR="00000000" w:rsidRPr="00000000">
              <w:rPr>
                <w:rtl w:val="0"/>
              </w:rPr>
            </w:r>
          </w:p>
        </w:tc>
      </w:tr>
      <w:tr>
        <w:trPr>
          <w:cantSplit w:val="0"/>
          <w:tblHeader w:val="1"/>
        </w:trPr>
        <w:tc>
          <w:tcPr>
            <w:vMerge w:val="continue"/>
            <w:tcMar>
              <w:top w:w="35.0" w:type="dxa"/>
              <w:bottom w:w="35.0"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75" w:type="dxa"/>
              <w:bottom w:w="75" w:type="dxa"/>
              <w:start w:w="110" w:type="dxa"/>
              <w:end w:w="110" w:type="dxa"/>
            </w:tcMar>
            <w:vAlign w:val="center"/>
          </w:tcPr>
          <w:p w:rsidR="00000000" w:rsidDel="00000000" w:rsidP="00000000" w:rsidRDefault="00000000" w:rsidRPr="00000000" w14:paraId="000000DC">
            <w:pPr>
              <w:spacing w:after="60" w:before="0" w:line="252.00000000000003" w:lineRule="auto"/>
              <w:jc w:val="center"/>
              <w:rPr/>
            </w:pPr>
            <w:r w:rsidDel="00000000" w:rsidR="00000000" w:rsidRPr="00000000">
              <w:rPr>
                <w:rFonts w:ascii="Arial" w:cs="Arial" w:eastAsia="Arial" w:hAnsi="Arial"/>
                <w:b w:val="1"/>
                <w:bCs w:val="1"/>
                <w:i w:val="0"/>
                <w:iCs w:val="0"/>
                <w:color w:val="000000"/>
                <w:sz w:val="12"/>
                <w:szCs w:val="12"/>
                <w:rtl w:val="0"/>
              </w:rPr>
              <w:t xml:space="preserve">S 1</w:t>
            </w:r>
            <w:r w:rsidDel="00000000" w:rsidR="00000000" w:rsidRPr="00000000">
              <w:rPr>
                <w:rtl w:val="0"/>
              </w:rPr>
            </w:r>
          </w:p>
        </w:tc>
        <w:tc>
          <w:tcPr>
            <w:tcMar>
              <w:top w:w="75" w:type="dxa"/>
              <w:bottom w:w="75" w:type="dxa"/>
              <w:start w:w="110" w:type="dxa"/>
              <w:end w:w="110" w:type="dxa"/>
            </w:tcMar>
            <w:vAlign w:val="center"/>
          </w:tcPr>
          <w:p w:rsidR="00000000" w:rsidDel="00000000" w:rsidP="00000000" w:rsidRDefault="00000000" w:rsidRPr="00000000" w14:paraId="000000DD">
            <w:pPr>
              <w:spacing w:after="60" w:before="0" w:line="252.00000000000003" w:lineRule="auto"/>
              <w:jc w:val="center"/>
              <w:rPr/>
            </w:pPr>
            <w:r w:rsidDel="00000000" w:rsidR="00000000" w:rsidRPr="00000000">
              <w:rPr>
                <w:rFonts w:ascii="Arial" w:cs="Arial" w:eastAsia="Arial" w:hAnsi="Arial"/>
                <w:b w:val="1"/>
                <w:bCs w:val="1"/>
                <w:i w:val="0"/>
                <w:iCs w:val="0"/>
                <w:color w:val="000000"/>
                <w:sz w:val="12"/>
                <w:szCs w:val="12"/>
                <w:rtl w:val="0"/>
              </w:rPr>
              <w:t xml:space="preserve">S 2</w:t>
            </w:r>
            <w:r w:rsidDel="00000000" w:rsidR="00000000" w:rsidRPr="00000000">
              <w:rPr>
                <w:rtl w:val="0"/>
              </w:rPr>
            </w:r>
          </w:p>
        </w:tc>
        <w:tc>
          <w:tcPr>
            <w:tcMar>
              <w:top w:w="75" w:type="dxa"/>
              <w:bottom w:w="75" w:type="dxa"/>
              <w:start w:w="110" w:type="dxa"/>
              <w:end w:w="110" w:type="dxa"/>
            </w:tcMar>
            <w:vAlign w:val="center"/>
          </w:tcPr>
          <w:p w:rsidR="00000000" w:rsidDel="00000000" w:rsidP="00000000" w:rsidRDefault="00000000" w:rsidRPr="00000000" w14:paraId="000000DE">
            <w:pPr>
              <w:spacing w:after="60" w:before="0" w:line="252.00000000000003" w:lineRule="auto"/>
              <w:jc w:val="center"/>
              <w:rPr/>
            </w:pPr>
            <w:r w:rsidDel="00000000" w:rsidR="00000000" w:rsidRPr="00000000">
              <w:rPr>
                <w:rFonts w:ascii="Arial" w:cs="Arial" w:eastAsia="Arial" w:hAnsi="Arial"/>
                <w:b w:val="1"/>
                <w:bCs w:val="1"/>
                <w:i w:val="0"/>
                <w:iCs w:val="0"/>
                <w:color w:val="000000"/>
                <w:sz w:val="12"/>
                <w:szCs w:val="12"/>
                <w:rtl w:val="0"/>
              </w:rPr>
              <w:t xml:space="preserve">S 3</w:t>
            </w:r>
            <w:r w:rsidDel="00000000" w:rsidR="00000000" w:rsidRPr="00000000">
              <w:rPr>
                <w:rtl w:val="0"/>
              </w:rPr>
            </w:r>
          </w:p>
        </w:tc>
        <w:tc>
          <w:tcPr>
            <w:tcMar>
              <w:top w:w="75" w:type="dxa"/>
              <w:bottom w:w="75" w:type="dxa"/>
              <w:start w:w="110" w:type="dxa"/>
              <w:end w:w="110" w:type="dxa"/>
            </w:tcMar>
            <w:vAlign w:val="center"/>
          </w:tcPr>
          <w:p w:rsidR="00000000" w:rsidDel="00000000" w:rsidP="00000000" w:rsidRDefault="00000000" w:rsidRPr="00000000" w14:paraId="000000DF">
            <w:pPr>
              <w:spacing w:after="60" w:before="0" w:line="252.00000000000003" w:lineRule="auto"/>
              <w:jc w:val="center"/>
              <w:rPr/>
            </w:pPr>
            <w:r w:rsidDel="00000000" w:rsidR="00000000" w:rsidRPr="00000000">
              <w:rPr>
                <w:rFonts w:ascii="Arial" w:cs="Arial" w:eastAsia="Arial" w:hAnsi="Arial"/>
                <w:b w:val="1"/>
                <w:bCs w:val="1"/>
                <w:i w:val="0"/>
                <w:iCs w:val="0"/>
                <w:color w:val="000000"/>
                <w:sz w:val="12"/>
                <w:szCs w:val="12"/>
                <w:rtl w:val="0"/>
              </w:rPr>
              <w:t xml:space="preserve">S 4</w:t>
            </w:r>
            <w:r w:rsidDel="00000000" w:rsidR="00000000" w:rsidRPr="00000000">
              <w:rPr>
                <w:rtl w:val="0"/>
              </w:rPr>
            </w:r>
          </w:p>
        </w:tc>
        <w:tc>
          <w:tcPr>
            <w:tcMar>
              <w:top w:w="75" w:type="dxa"/>
              <w:bottom w:w="75" w:type="dxa"/>
              <w:start w:w="110" w:type="dxa"/>
              <w:end w:w="110" w:type="dxa"/>
            </w:tcMar>
            <w:vAlign w:val="center"/>
          </w:tcPr>
          <w:p w:rsidR="00000000" w:rsidDel="00000000" w:rsidP="00000000" w:rsidRDefault="00000000" w:rsidRPr="00000000" w14:paraId="000000E0">
            <w:pPr>
              <w:spacing w:after="60" w:before="0" w:line="252.00000000000003" w:lineRule="auto"/>
              <w:jc w:val="center"/>
              <w:rPr/>
            </w:pPr>
            <w:r w:rsidDel="00000000" w:rsidR="00000000" w:rsidRPr="00000000">
              <w:rPr>
                <w:rFonts w:ascii="Arial" w:cs="Arial" w:eastAsia="Arial" w:hAnsi="Arial"/>
                <w:b w:val="1"/>
                <w:bCs w:val="1"/>
                <w:i w:val="0"/>
                <w:iCs w:val="0"/>
                <w:color w:val="000000"/>
                <w:sz w:val="12"/>
                <w:szCs w:val="12"/>
                <w:rtl w:val="0"/>
              </w:rPr>
              <w:t xml:space="preserve">S 5</w:t>
            </w:r>
            <w:r w:rsidDel="00000000" w:rsidR="00000000" w:rsidRPr="00000000">
              <w:rPr>
                <w:rtl w:val="0"/>
              </w:rPr>
            </w:r>
          </w:p>
        </w:tc>
        <w:tc>
          <w:tcPr>
            <w:tcMar>
              <w:top w:w="75" w:type="dxa"/>
              <w:bottom w:w="75" w:type="dxa"/>
              <w:start w:w="110" w:type="dxa"/>
              <w:end w:w="110" w:type="dxa"/>
            </w:tcMar>
            <w:vAlign w:val="center"/>
          </w:tcPr>
          <w:p w:rsidR="00000000" w:rsidDel="00000000" w:rsidP="00000000" w:rsidRDefault="00000000" w:rsidRPr="00000000" w14:paraId="000000E1">
            <w:pPr>
              <w:spacing w:after="60" w:before="0" w:line="252.00000000000003" w:lineRule="auto"/>
              <w:jc w:val="center"/>
              <w:rPr/>
            </w:pPr>
            <w:r w:rsidDel="00000000" w:rsidR="00000000" w:rsidRPr="00000000">
              <w:rPr>
                <w:rFonts w:ascii="Arial" w:cs="Arial" w:eastAsia="Arial" w:hAnsi="Arial"/>
                <w:b w:val="1"/>
                <w:bCs w:val="1"/>
                <w:i w:val="0"/>
                <w:iCs w:val="0"/>
                <w:color w:val="000000"/>
                <w:sz w:val="12"/>
                <w:szCs w:val="12"/>
                <w:rtl w:val="0"/>
              </w:rPr>
              <w:t xml:space="preserve">S 6</w:t>
            </w:r>
            <w:r w:rsidDel="00000000" w:rsidR="00000000" w:rsidRPr="00000000">
              <w:rPr>
                <w:rtl w:val="0"/>
              </w:rPr>
            </w:r>
          </w:p>
        </w:tc>
        <w:tc>
          <w:tcPr>
            <w:tcMar>
              <w:top w:w="75" w:type="dxa"/>
              <w:bottom w:w="75" w:type="dxa"/>
              <w:start w:w="110" w:type="dxa"/>
              <w:end w:w="110" w:type="dxa"/>
            </w:tcMar>
            <w:vAlign w:val="center"/>
          </w:tcPr>
          <w:p w:rsidR="00000000" w:rsidDel="00000000" w:rsidP="00000000" w:rsidRDefault="00000000" w:rsidRPr="00000000" w14:paraId="000000E2">
            <w:pPr>
              <w:spacing w:after="60" w:before="0" w:line="252.00000000000003" w:lineRule="auto"/>
              <w:jc w:val="center"/>
              <w:rPr/>
            </w:pPr>
            <w:r w:rsidDel="00000000" w:rsidR="00000000" w:rsidRPr="00000000">
              <w:rPr>
                <w:rFonts w:ascii="Arial" w:cs="Arial" w:eastAsia="Arial" w:hAnsi="Arial"/>
                <w:b w:val="1"/>
                <w:bCs w:val="1"/>
                <w:i w:val="0"/>
                <w:iCs w:val="0"/>
                <w:color w:val="000000"/>
                <w:sz w:val="12"/>
                <w:szCs w:val="12"/>
                <w:rtl w:val="0"/>
              </w:rPr>
              <w:t xml:space="preserve">S 7</w:t>
            </w:r>
            <w:r w:rsidDel="00000000" w:rsidR="00000000" w:rsidRPr="00000000">
              <w:rPr>
                <w:rtl w:val="0"/>
              </w:rPr>
            </w:r>
          </w:p>
        </w:tc>
        <w:tc>
          <w:tcPr>
            <w:tcMar>
              <w:top w:w="75" w:type="dxa"/>
              <w:bottom w:w="75" w:type="dxa"/>
              <w:start w:w="110" w:type="dxa"/>
              <w:end w:w="110" w:type="dxa"/>
            </w:tcMar>
            <w:vAlign w:val="center"/>
          </w:tcPr>
          <w:p w:rsidR="00000000" w:rsidDel="00000000" w:rsidP="00000000" w:rsidRDefault="00000000" w:rsidRPr="00000000" w14:paraId="000000E3">
            <w:pPr>
              <w:spacing w:after="60" w:before="0" w:line="252.00000000000003" w:lineRule="auto"/>
              <w:jc w:val="center"/>
              <w:rPr/>
            </w:pPr>
            <w:r w:rsidDel="00000000" w:rsidR="00000000" w:rsidRPr="00000000">
              <w:rPr>
                <w:rFonts w:ascii="Arial" w:cs="Arial" w:eastAsia="Arial" w:hAnsi="Arial"/>
                <w:b w:val="1"/>
                <w:bCs w:val="1"/>
                <w:i w:val="0"/>
                <w:iCs w:val="0"/>
                <w:color w:val="000000"/>
                <w:sz w:val="12"/>
                <w:szCs w:val="12"/>
                <w:rtl w:val="0"/>
              </w:rPr>
              <w:t xml:space="preserve">S 8</w:t>
            </w:r>
            <w:r w:rsidDel="00000000" w:rsidR="00000000" w:rsidRPr="00000000">
              <w:rPr>
                <w:rtl w:val="0"/>
              </w:rPr>
            </w:r>
          </w:p>
        </w:tc>
        <w:tc>
          <w:tcPr>
            <w:tcMar>
              <w:top w:w="75" w:type="dxa"/>
              <w:bottom w:w="75" w:type="dxa"/>
              <w:start w:w="110" w:type="dxa"/>
              <w:end w:w="110" w:type="dxa"/>
            </w:tcMar>
            <w:vAlign w:val="center"/>
          </w:tcPr>
          <w:p w:rsidR="00000000" w:rsidDel="00000000" w:rsidP="00000000" w:rsidRDefault="00000000" w:rsidRPr="00000000" w14:paraId="000000E4">
            <w:pPr>
              <w:spacing w:after="60" w:before="0" w:line="252.00000000000003" w:lineRule="auto"/>
              <w:jc w:val="center"/>
              <w:rPr/>
            </w:pPr>
            <w:r w:rsidDel="00000000" w:rsidR="00000000" w:rsidRPr="00000000">
              <w:rPr>
                <w:rFonts w:ascii="Arial" w:cs="Arial" w:eastAsia="Arial" w:hAnsi="Arial"/>
                <w:b w:val="1"/>
                <w:bCs w:val="1"/>
                <w:i w:val="0"/>
                <w:iCs w:val="0"/>
                <w:color w:val="000000"/>
                <w:sz w:val="12"/>
                <w:szCs w:val="12"/>
                <w:rtl w:val="0"/>
              </w:rPr>
              <w:t xml:space="preserve">S 9</w:t>
            </w:r>
            <w:r w:rsidDel="00000000" w:rsidR="00000000" w:rsidRPr="00000000">
              <w:rPr>
                <w:rtl w:val="0"/>
              </w:rPr>
            </w:r>
          </w:p>
        </w:tc>
        <w:tc>
          <w:tcPr>
            <w:tcMar>
              <w:top w:w="75" w:type="dxa"/>
              <w:bottom w:w="75" w:type="dxa"/>
              <w:start w:w="110" w:type="dxa"/>
              <w:end w:w="110" w:type="dxa"/>
            </w:tcMar>
            <w:vAlign w:val="center"/>
          </w:tcPr>
          <w:p w:rsidR="00000000" w:rsidDel="00000000" w:rsidP="00000000" w:rsidRDefault="00000000" w:rsidRPr="00000000" w14:paraId="000000E5">
            <w:pPr>
              <w:spacing w:after="60" w:before="0" w:line="252.00000000000003" w:lineRule="auto"/>
              <w:jc w:val="center"/>
              <w:rPr/>
            </w:pPr>
            <w:r w:rsidDel="00000000" w:rsidR="00000000" w:rsidRPr="00000000">
              <w:rPr>
                <w:rFonts w:ascii="Arial" w:cs="Arial" w:eastAsia="Arial" w:hAnsi="Arial"/>
                <w:b w:val="1"/>
                <w:bCs w:val="1"/>
                <w:i w:val="0"/>
                <w:iCs w:val="0"/>
                <w:color w:val="000000"/>
                <w:sz w:val="12"/>
                <w:szCs w:val="12"/>
                <w:rtl w:val="0"/>
              </w:rPr>
              <w:t xml:space="preserve">S 10</w:t>
            </w:r>
            <w:r w:rsidDel="00000000" w:rsidR="00000000" w:rsidRPr="00000000">
              <w:rPr>
                <w:rtl w:val="0"/>
              </w:rPr>
            </w:r>
          </w:p>
        </w:tc>
        <w:tc>
          <w:tcPr>
            <w:tcMar>
              <w:top w:w="75" w:type="dxa"/>
              <w:bottom w:w="75" w:type="dxa"/>
              <w:start w:w="110" w:type="dxa"/>
              <w:end w:w="110" w:type="dxa"/>
            </w:tcMar>
            <w:vAlign w:val="center"/>
          </w:tcPr>
          <w:p w:rsidR="00000000" w:rsidDel="00000000" w:rsidP="00000000" w:rsidRDefault="00000000" w:rsidRPr="00000000" w14:paraId="000000E6">
            <w:pPr>
              <w:spacing w:after="60" w:before="0" w:line="252.00000000000003" w:lineRule="auto"/>
              <w:jc w:val="center"/>
              <w:rPr/>
            </w:pPr>
            <w:r w:rsidDel="00000000" w:rsidR="00000000" w:rsidRPr="00000000">
              <w:rPr>
                <w:rFonts w:ascii="Arial" w:cs="Arial" w:eastAsia="Arial" w:hAnsi="Arial"/>
                <w:b w:val="1"/>
                <w:bCs w:val="1"/>
                <w:i w:val="0"/>
                <w:iCs w:val="0"/>
                <w:color w:val="000000"/>
                <w:sz w:val="12"/>
                <w:szCs w:val="12"/>
                <w:rtl w:val="0"/>
              </w:rPr>
              <w:t xml:space="preserve">S 11</w:t>
            </w:r>
            <w:r w:rsidDel="00000000" w:rsidR="00000000" w:rsidRPr="00000000">
              <w:rPr>
                <w:rtl w:val="0"/>
              </w:rPr>
            </w:r>
          </w:p>
        </w:tc>
        <w:tc>
          <w:tcPr>
            <w:tcMar>
              <w:top w:w="75" w:type="dxa"/>
              <w:bottom w:w="75" w:type="dxa"/>
              <w:start w:w="110" w:type="dxa"/>
              <w:end w:w="110" w:type="dxa"/>
            </w:tcMar>
            <w:vAlign w:val="center"/>
          </w:tcPr>
          <w:p w:rsidR="00000000" w:rsidDel="00000000" w:rsidP="00000000" w:rsidRDefault="00000000" w:rsidRPr="00000000" w14:paraId="000000E7">
            <w:pPr>
              <w:spacing w:after="60" w:before="0" w:line="252.00000000000003" w:lineRule="auto"/>
              <w:jc w:val="center"/>
              <w:rPr/>
            </w:pPr>
            <w:r w:rsidDel="00000000" w:rsidR="00000000" w:rsidRPr="00000000">
              <w:rPr>
                <w:rFonts w:ascii="Arial" w:cs="Arial" w:eastAsia="Arial" w:hAnsi="Arial"/>
                <w:b w:val="1"/>
                <w:bCs w:val="1"/>
                <w:i w:val="0"/>
                <w:iCs w:val="0"/>
                <w:color w:val="000000"/>
                <w:sz w:val="12"/>
                <w:szCs w:val="12"/>
                <w:rtl w:val="0"/>
              </w:rPr>
              <w:t xml:space="preserve">S 12</w:t>
            </w:r>
            <w:r w:rsidDel="00000000" w:rsidR="00000000" w:rsidRPr="00000000">
              <w:rPr>
                <w:rtl w:val="0"/>
              </w:rPr>
            </w:r>
          </w:p>
        </w:tc>
        <w:tc>
          <w:tcPr>
            <w:tcMar>
              <w:top w:w="75" w:type="dxa"/>
              <w:bottom w:w="75" w:type="dxa"/>
              <w:start w:w="110" w:type="dxa"/>
              <w:end w:w="110" w:type="dxa"/>
            </w:tcMar>
            <w:vAlign w:val="center"/>
          </w:tcPr>
          <w:p w:rsidR="00000000" w:rsidDel="00000000" w:rsidP="00000000" w:rsidRDefault="00000000" w:rsidRPr="00000000" w14:paraId="000000E8">
            <w:pPr>
              <w:spacing w:after="60" w:before="0" w:line="252.00000000000003" w:lineRule="auto"/>
              <w:jc w:val="center"/>
              <w:rPr/>
            </w:pPr>
            <w:r w:rsidDel="00000000" w:rsidR="00000000" w:rsidRPr="00000000">
              <w:rPr>
                <w:rFonts w:ascii="Arial" w:cs="Arial" w:eastAsia="Arial" w:hAnsi="Arial"/>
                <w:b w:val="1"/>
                <w:bCs w:val="1"/>
                <w:i w:val="0"/>
                <w:iCs w:val="0"/>
                <w:color w:val="000000"/>
                <w:sz w:val="12"/>
                <w:szCs w:val="12"/>
                <w:rtl w:val="0"/>
              </w:rPr>
              <w:t xml:space="preserve">S 13</w:t>
            </w:r>
            <w:r w:rsidDel="00000000" w:rsidR="00000000" w:rsidRPr="00000000">
              <w:rPr>
                <w:rtl w:val="0"/>
              </w:rPr>
            </w:r>
          </w:p>
        </w:tc>
        <w:tc>
          <w:tcPr>
            <w:tcMar>
              <w:top w:w="75" w:type="dxa"/>
              <w:bottom w:w="75" w:type="dxa"/>
              <w:start w:w="110" w:type="dxa"/>
              <w:end w:w="110" w:type="dxa"/>
            </w:tcMar>
            <w:vAlign w:val="center"/>
          </w:tcPr>
          <w:p w:rsidR="00000000" w:rsidDel="00000000" w:rsidP="00000000" w:rsidRDefault="00000000" w:rsidRPr="00000000" w14:paraId="000000E9">
            <w:pPr>
              <w:spacing w:after="60" w:before="0" w:line="252.00000000000003" w:lineRule="auto"/>
              <w:jc w:val="center"/>
              <w:rPr/>
            </w:pPr>
            <w:r w:rsidDel="00000000" w:rsidR="00000000" w:rsidRPr="00000000">
              <w:rPr>
                <w:rFonts w:ascii="Arial" w:cs="Arial" w:eastAsia="Arial" w:hAnsi="Arial"/>
                <w:b w:val="1"/>
                <w:bCs w:val="1"/>
                <w:i w:val="0"/>
                <w:iCs w:val="0"/>
                <w:color w:val="000000"/>
                <w:sz w:val="12"/>
                <w:szCs w:val="12"/>
                <w:rtl w:val="0"/>
              </w:rPr>
              <w:t xml:space="preserve">S 14</w:t>
            </w:r>
            <w:r w:rsidDel="00000000" w:rsidR="00000000" w:rsidRPr="00000000">
              <w:rPr>
                <w:rtl w:val="0"/>
              </w:rPr>
            </w:r>
          </w:p>
        </w:tc>
        <w:tc>
          <w:tcPr>
            <w:tcMar>
              <w:top w:w="75" w:type="dxa"/>
              <w:bottom w:w="75" w:type="dxa"/>
              <w:start w:w="110" w:type="dxa"/>
              <w:end w:w="110" w:type="dxa"/>
            </w:tcMar>
            <w:vAlign w:val="center"/>
          </w:tcPr>
          <w:p w:rsidR="00000000" w:rsidDel="00000000" w:rsidP="00000000" w:rsidRDefault="00000000" w:rsidRPr="00000000" w14:paraId="000000EA">
            <w:pPr>
              <w:spacing w:after="60" w:before="0" w:line="252.00000000000003" w:lineRule="auto"/>
              <w:jc w:val="center"/>
              <w:rPr/>
            </w:pPr>
            <w:r w:rsidDel="00000000" w:rsidR="00000000" w:rsidRPr="00000000">
              <w:rPr>
                <w:rFonts w:ascii="Arial" w:cs="Arial" w:eastAsia="Arial" w:hAnsi="Arial"/>
                <w:b w:val="1"/>
                <w:bCs w:val="1"/>
                <w:i w:val="0"/>
                <w:iCs w:val="0"/>
                <w:color w:val="000000"/>
                <w:sz w:val="12"/>
                <w:szCs w:val="12"/>
                <w:rtl w:val="0"/>
              </w:rPr>
              <w:t xml:space="preserve">S 15</w:t>
            </w:r>
            <w:r w:rsidDel="00000000" w:rsidR="00000000" w:rsidRPr="00000000">
              <w:rPr>
                <w:rtl w:val="0"/>
              </w:rPr>
            </w:r>
          </w:p>
        </w:tc>
        <w:tc>
          <w:tcPr>
            <w:tcMar>
              <w:top w:w="75" w:type="dxa"/>
              <w:bottom w:w="75" w:type="dxa"/>
              <w:start w:w="110" w:type="dxa"/>
              <w:end w:w="110" w:type="dxa"/>
            </w:tcMar>
            <w:vAlign w:val="center"/>
          </w:tcPr>
          <w:p w:rsidR="00000000" w:rsidDel="00000000" w:rsidP="00000000" w:rsidRDefault="00000000" w:rsidRPr="00000000" w14:paraId="000000EB">
            <w:pPr>
              <w:spacing w:after="60" w:before="0" w:line="252.00000000000003" w:lineRule="auto"/>
              <w:jc w:val="center"/>
              <w:rPr/>
            </w:pPr>
            <w:r w:rsidDel="00000000" w:rsidR="00000000" w:rsidRPr="00000000">
              <w:rPr>
                <w:rFonts w:ascii="Arial" w:cs="Arial" w:eastAsia="Arial" w:hAnsi="Arial"/>
                <w:b w:val="1"/>
                <w:bCs w:val="1"/>
                <w:i w:val="0"/>
                <w:iCs w:val="0"/>
                <w:color w:val="000000"/>
                <w:sz w:val="12"/>
                <w:szCs w:val="12"/>
                <w:rtl w:val="0"/>
              </w:rPr>
              <w:t xml:space="preserve">S 16</w:t>
            </w:r>
            <w:r w:rsidDel="00000000" w:rsidR="00000000" w:rsidRPr="00000000">
              <w:rPr>
                <w:rtl w:val="0"/>
              </w:rPr>
            </w:r>
          </w:p>
        </w:tc>
        <w:tc>
          <w:tcPr>
            <w:tcMar>
              <w:top w:w="75" w:type="dxa"/>
              <w:bottom w:w="75" w:type="dxa"/>
              <w:start w:w="110" w:type="dxa"/>
              <w:end w:w="110" w:type="dxa"/>
            </w:tcMar>
            <w:vAlign w:val="center"/>
          </w:tcPr>
          <w:p w:rsidR="00000000" w:rsidDel="00000000" w:rsidP="00000000" w:rsidRDefault="00000000" w:rsidRPr="00000000" w14:paraId="000000EC">
            <w:pPr>
              <w:spacing w:after="60" w:before="0" w:line="252.00000000000003" w:lineRule="auto"/>
              <w:jc w:val="center"/>
              <w:rPr/>
            </w:pPr>
            <w:r w:rsidDel="00000000" w:rsidR="00000000" w:rsidRPr="00000000">
              <w:rPr>
                <w:rFonts w:ascii="Arial" w:cs="Arial" w:eastAsia="Arial" w:hAnsi="Arial"/>
                <w:b w:val="1"/>
                <w:bCs w:val="1"/>
                <w:i w:val="0"/>
                <w:iCs w:val="0"/>
                <w:color w:val="000000"/>
                <w:sz w:val="12"/>
                <w:szCs w:val="12"/>
                <w:rtl w:val="0"/>
              </w:rPr>
              <w:t xml:space="preserve">S 17</w:t>
            </w:r>
            <w:r w:rsidDel="00000000" w:rsidR="00000000" w:rsidRPr="00000000">
              <w:rPr>
                <w:rtl w:val="0"/>
              </w:rPr>
            </w:r>
          </w:p>
        </w:tc>
        <w:tc>
          <w:tcPr>
            <w:tcMar>
              <w:top w:w="75" w:type="dxa"/>
              <w:bottom w:w="75" w:type="dxa"/>
              <w:start w:w="110" w:type="dxa"/>
              <w:end w:w="110" w:type="dxa"/>
            </w:tcMar>
            <w:vAlign w:val="center"/>
          </w:tcPr>
          <w:p w:rsidR="00000000" w:rsidDel="00000000" w:rsidP="00000000" w:rsidRDefault="00000000" w:rsidRPr="00000000" w14:paraId="000000ED">
            <w:pPr>
              <w:spacing w:after="60" w:before="0" w:line="252.00000000000003" w:lineRule="auto"/>
              <w:jc w:val="center"/>
              <w:rPr/>
            </w:pPr>
            <w:r w:rsidDel="00000000" w:rsidR="00000000" w:rsidRPr="00000000">
              <w:rPr>
                <w:rFonts w:ascii="Arial" w:cs="Arial" w:eastAsia="Arial" w:hAnsi="Arial"/>
                <w:b w:val="1"/>
                <w:bCs w:val="1"/>
                <w:i w:val="0"/>
                <w:iCs w:val="0"/>
                <w:color w:val="000000"/>
                <w:sz w:val="12"/>
                <w:szCs w:val="12"/>
                <w:rtl w:val="0"/>
              </w:rPr>
              <w:t xml:space="preserve">S 18</w:t>
            </w:r>
            <w:r w:rsidDel="00000000" w:rsidR="00000000" w:rsidRPr="00000000">
              <w:rPr>
                <w:rtl w:val="0"/>
              </w:rPr>
            </w:r>
          </w:p>
        </w:tc>
      </w:tr>
      <w:tr>
        <w:trPr>
          <w:cantSplit w:val="0"/>
          <w:tblHeader w:val="0"/>
        </w:trPr>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6"/>
              </w:rPr>
              <w:t>Validación de alcance</w:t>
            </w:r>
          </w:p>
        </w:tc>
        <w:tc>
          <w:tcPr>
            <w:shd w:fill="4472C4"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4"/>
              </w:rPr>
            </w:r>
          </w:p>
        </w:tc>
        <w:tc>
          <w:tcPr>
            <w:shd w:fill="4472C4"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4"/>
              </w:rPr>
            </w:r>
          </w:p>
        </w:tc>
        <w:tc>
          <w:tcPr>
            <w:shd w:fill="4472C4"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r>
      <w:tr>
        <w:trPr>
          <w:cantSplit w:val="0"/>
          <w:tblHeader w:val="0"/>
        </w:trPr>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6"/>
              </w:rPr>
              <w:t>Auditoría de fuentes</w:t>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shd w:fill="4472C4"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4"/>
              </w:rPr>
            </w:r>
          </w:p>
        </w:tc>
        <w:tc>
          <w:tcPr>
            <w:shd w:fill="4472C4"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4"/>
              </w:rPr>
            </w:r>
          </w:p>
        </w:tc>
        <w:tc>
          <w:tcPr>
            <w:shd w:fill="4472C4"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r>
      <w:tr>
        <w:trPr>
          <w:cantSplit w:val="0"/>
          <w:tblHeader w:val="0"/>
        </w:trPr>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6"/>
              </w:rPr>
              <w:t>Prototipo y arquitectura</w:t>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shd w:fill="4472C4"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4"/>
              </w:rPr>
            </w:r>
          </w:p>
        </w:tc>
        <w:tc>
          <w:tcPr>
            <w:shd w:fill="4472C4"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4"/>
              </w:rPr>
            </w:r>
          </w:p>
        </w:tc>
        <w:tc>
          <w:tcPr>
            <w:shd w:fill="4472C4"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r>
      <w:tr>
        <w:trPr>
          <w:cantSplit w:val="0"/>
          <w:tblHeader w:val="0"/>
        </w:trPr>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6"/>
              </w:rPr>
              <w:t>Pipeline reproducible</w:t>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4472C4"/>
          </w:tcPr>
          <w:p>
            <w:pPr>
              <w:spacing w:before="0" w:after="40" w:line="252" w:lineRule="auto"/>
              <w:jc w:val="left"/>
            </w:pPr>
            <w:r>
              <w:rPr>
                <w:rFonts w:ascii="Arial" w:hAnsi="Arial"/>
                <w:b w:val="0"/>
                <w:i w:val="0"/>
                <w:color w:val="000000"/>
                <w:sz w:val="14"/>
              </w:rPr>
            </w:r>
          </w:p>
        </w:tc>
        <w:tc>
          <w:tcPr>
            <w:shd w:fill="4472C4"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4"/>
              </w:rPr>
            </w:r>
          </w:p>
        </w:tc>
        <w:tc>
          <w:tcPr>
            <w:shd w:fill="4472C4"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4"/>
              </w:rPr>
            </w:r>
          </w:p>
        </w:tc>
        <w:tc>
          <w:tcPr>
            <w:shd w:fill="4472C4"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4"/>
              </w:rPr>
            </w:r>
          </w:p>
        </w:tc>
        <w:tc>
          <w:tcPr>
            <w:shd w:fill="4472C4"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4"/>
              </w:rPr>
            </w:r>
          </w:p>
        </w:tc>
        <w:tc>
          <w:tcPr>
            <w:shd w:fill="FFFFFF"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r>
      <w:tr>
        <w:trPr>
          <w:cantSplit w:val="0"/>
          <w:tblHeader w:val="0"/>
        </w:trPr>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6"/>
              </w:rPr>
              <w:t>Modelo de demanda</w:t>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4472C4"/>
          </w:tcPr>
          <w:p>
            <w:pPr>
              <w:spacing w:before="0" w:after="40" w:line="252" w:lineRule="auto"/>
              <w:jc w:val="left"/>
            </w:pPr>
            <w:r>
              <w:rPr>
                <w:rFonts w:ascii="Arial" w:hAnsi="Arial"/>
                <w:b w:val="0"/>
                <w:i w:val="0"/>
                <w:color w:val="000000"/>
                <w:sz w:val="14"/>
              </w:rPr>
            </w:r>
          </w:p>
        </w:tc>
        <w:tc>
          <w:tcPr>
            <w:shd w:fill="4472C4"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4"/>
              </w:rPr>
            </w:r>
          </w:p>
        </w:tc>
        <w:tc>
          <w:tcPr>
            <w:shd w:fill="4472C4"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4"/>
              </w:rPr>
            </w:r>
          </w:p>
        </w:tc>
        <w:tc>
          <w:tcPr>
            <w:shd w:fill="4472C4"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4"/>
              </w:rPr>
            </w:r>
          </w:p>
        </w:tc>
        <w:tc>
          <w:tcPr>
            <w:shd w:fill="4472C4"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4"/>
              </w:rPr>
            </w:r>
          </w:p>
        </w:tc>
        <w:tc>
          <w:tcPr>
            <w:shd w:fill="FFFFFF"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r>
      <w:tr>
        <w:trPr>
          <w:cantSplit w:val="0"/>
          <w:tblHeader w:val="0"/>
        </w:trPr>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6"/>
              </w:rPr>
              <w:t>Accesibilidad territorial</w:t>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4472C4"/>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4472C4"/>
          </w:tcPr>
          <w:p>
            <w:pPr>
              <w:spacing w:before="0" w:after="40" w:line="252" w:lineRule="auto"/>
              <w:jc w:val="left"/>
            </w:pPr>
            <w:r>
              <w:rPr>
                <w:rFonts w:ascii="Arial" w:hAnsi="Arial"/>
                <w:b w:val="0"/>
                <w:i w:val="0"/>
                <w:color w:val="000000"/>
                <w:sz w:val="14"/>
              </w:rPr>
            </w:r>
          </w:p>
        </w:tc>
        <w:tc>
          <w:tcPr>
            <w:shd w:fill="4472C4"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4"/>
              </w:rPr>
            </w:r>
          </w:p>
        </w:tc>
        <w:tc>
          <w:tcPr>
            <w:shd w:fill="4472C4"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4"/>
              </w:rPr>
            </w:r>
          </w:p>
        </w:tc>
        <w:tc>
          <w:tcPr>
            <w:shd w:fill="4472C4"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4"/>
              </w:rPr>
            </w:r>
          </w:p>
        </w:tc>
        <w:tc>
          <w:tcPr>
            <w:shd w:fill="4472C4"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4"/>
              </w:rPr>
            </w:r>
          </w:p>
        </w:tc>
        <w:tc>
          <w:tcPr>
            <w:shd w:fill="FFFFFF"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r>
      <w:tr>
        <w:trPr>
          <w:cantSplit w:val="0"/>
          <w:tblHeader w:val="0"/>
        </w:trPr>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6"/>
              </w:rPr>
              <w:t>Hospitalización psiquiátrica</w:t>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4472C4"/>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4472C4"/>
          </w:tcPr>
          <w:p>
            <w:pPr>
              <w:spacing w:before="0" w:after="40" w:line="252" w:lineRule="auto"/>
              <w:jc w:val="left"/>
            </w:pPr>
            <w:r>
              <w:rPr>
                <w:rFonts w:ascii="Arial" w:hAnsi="Arial"/>
                <w:b w:val="0"/>
                <w:i w:val="0"/>
                <w:color w:val="000000"/>
                <w:sz w:val="14"/>
              </w:rPr>
            </w:r>
          </w:p>
        </w:tc>
        <w:tc>
          <w:tcPr>
            <w:shd w:fill="4472C4"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4"/>
              </w:rPr>
            </w:r>
          </w:p>
        </w:tc>
        <w:tc>
          <w:tcPr>
            <w:shd w:fill="4472C4"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4"/>
              </w:rPr>
            </w:r>
          </w:p>
        </w:tc>
        <w:tc>
          <w:tcPr>
            <w:shd w:fill="4472C4"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4"/>
              </w:rPr>
            </w:r>
          </w:p>
        </w:tc>
        <w:tc>
          <w:tcPr>
            <w:shd w:fill="FFFFFF"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4"/>
              </w:rPr>
            </w:r>
          </w:p>
        </w:tc>
        <w:tc>
          <w:tcPr>
            <w:shd w:fill="FFFFFF"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r>
      <w:tr>
        <w:trPr>
          <w:cantSplit w:val="0"/>
          <w:tblHeader w:val="0"/>
        </w:trPr>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6"/>
              </w:rPr>
              <w:t>Plataforma web integrada</w:t>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4472C4"/>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4472C4"/>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4472C4"/>
          </w:tcPr>
          <w:p>
            <w:pPr>
              <w:spacing w:before="0" w:after="40" w:line="252" w:lineRule="auto"/>
              <w:jc w:val="left"/>
            </w:pPr>
            <w:r>
              <w:rPr>
                <w:rFonts w:ascii="Arial" w:hAnsi="Arial"/>
                <w:b w:val="0"/>
                <w:i w:val="0"/>
                <w:color w:val="000000"/>
                <w:sz w:val="14"/>
              </w:rPr>
            </w:r>
          </w:p>
        </w:tc>
        <w:tc>
          <w:tcPr>
            <w:shd w:fill="4472C4"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4"/>
              </w:rPr>
            </w:r>
          </w:p>
        </w:tc>
        <w:tc>
          <w:tcPr>
            <w:shd w:fill="4472C4"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4"/>
              </w:rPr>
            </w:r>
          </w:p>
        </w:tc>
        <w:tc>
          <w:tcPr>
            <w:shd w:fill="4472C4"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4"/>
              </w:rPr>
            </w:r>
          </w:p>
        </w:tc>
        <w:tc>
          <w:tcPr>
            <w:shd w:fill="FFFFFF"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r>
      <w:tr>
        <w:trPr>
          <w:cantSplit w:val="0"/>
          <w:tblHeader w:val="0"/>
        </w:trPr>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6"/>
              </w:rPr>
              <w:t>Pruebas y validación</w:t>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4472C4"/>
          </w:tcPr>
          <w:p>
            <w:pPr>
              <w:spacing w:before="0" w:after="40" w:line="252" w:lineRule="auto"/>
              <w:jc w:val="left"/>
            </w:pPr>
            <w:r>
              <w:rPr>
                <w:rFonts w:ascii="Arial" w:hAnsi="Arial"/>
                <w:b w:val="0"/>
                <w:i w:val="0"/>
                <w:color w:val="000000"/>
                <w:sz w:val="14"/>
              </w:rPr>
            </w:r>
          </w:p>
        </w:tc>
        <w:tc>
          <w:tcPr>
            <w:shd w:fill="4472C4"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4"/>
              </w:rPr>
            </w:r>
          </w:p>
        </w:tc>
        <w:tc>
          <w:tcPr>
            <w:shd w:fill="4472C4"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4"/>
              </w:rPr>
            </w:r>
          </w:p>
        </w:tc>
        <w:tc>
          <w:tcPr>
            <w:shd w:fill="ED7D31"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r>
      <w:tr>
        <w:trPr>
          <w:cantSplit w:val="0"/>
          <w:tblHeader w:val="0"/>
        </w:trPr>
        <w:tc>
          <w:tcP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6"/>
              </w:rPr>
              <w:t>Despliegue y documentación</w:t>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tcMar>
              <w:top w:w="75" w:type="dxa"/>
              <w:bottom w:w="75" w:type="dxa"/>
              <w:start w:w="110" w:type="dxa"/>
              <w:end w:w="110" w:type="dxa"/>
            </w:tcMar>
            <w:vAlign w:val="center"/>
            <w:shd w:fill="FFFFFF"/>
          </w:tcPr>
          <w:p>
            <w:pPr>
              <w:spacing w:before="0" w:after="40" w:line="252" w:lineRule="auto"/>
              <w:jc w:val="left"/>
            </w:pPr>
            <w:r>
              <w:rPr>
                <w:rFonts w:ascii="Arial" w:hAnsi="Arial"/>
                <w:b w:val="0"/>
                <w:i w:val="0"/>
                <w:color w:val="000000"/>
                <w:sz w:val="14"/>
              </w:rPr>
            </w:r>
          </w:p>
        </w:tc>
        <w:tc>
          <w:tcPr>
            <w:shd w:fill="ED7D31"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4"/>
              </w:rPr>
            </w:r>
          </w:p>
        </w:tc>
        <w:tc>
          <w:tcPr>
            <w:shd w:fill="ED7D31"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4"/>
              </w:rPr>
            </w:r>
          </w:p>
        </w:tc>
        <w:tc>
          <w:tcPr>
            <w:shd w:fill="ED7D31" w:val="clear"/>
            <w:tcMar>
              <w:top w:w="75" w:type="dxa"/>
              <w:bottom w:w="75" w:type="dxa"/>
              <w:start w:w="110" w:type="dxa"/>
              <w:end w:w="110" w:type="dxa"/>
            </w:tcMar>
            <w:vAlign w:val="center"/>
          </w:tcPr>
          <w:p>
            <w:pPr>
              <w:spacing w:before="0" w:after="40" w:line="252" w:lineRule="auto"/>
              <w:jc w:val="left"/>
            </w:pPr>
            <w:r>
              <w:rPr>
                <w:rFonts w:ascii="Arial" w:hAnsi="Arial"/>
                <w:b w:val="0"/>
                <w:i w:val="0"/>
                <w:color w:val="000000"/>
                <w:sz w:val="14"/>
              </w:rPr>
            </w:r>
          </w:p>
        </w:tc>
      </w:tr>
    </w:tbl>
    <w:p w:rsidR="00000000" w:rsidDel="00000000" w:rsidP="00000000" w:rsidRDefault="00000000" w:rsidRPr="00000000" w14:paraId="000001AC">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B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abstractNum w:abstractNumId="2">
    <w:multiLevelType w:val="singleLevel"/>
    <w:lvl w:ilvl="0">
      <w:start w:val="1"/>
      <w:numFmt w:val="bullet"/>
      <w:lvlText w:val="•"/>
      <w:lvlJc w:val="left"/>
      <w:pPr>
        <w:tabs>
          <w:tab w:val="num" w:pos="540"/>
        </w:tabs>
        <w:ind w:left="540" w:hanging="260"/>
      </w:pPr>
    </w:lvl>
  </w:abstractNum>
  <w:num w:numId="2">
    <w:abstractNumId w:val="2"/>
  </w:num>
  <w:abstractNum w:abstractNumId="3">
    <w:multiLevelType w:val="singleLevel"/>
    <w:lvl w:ilvl="0">
      <w:start w:val="1"/>
      <w:numFmt w:val="bullet"/>
      <w:lvlText w:val="•"/>
      <w:lvlJc w:val="left"/>
      <w:pPr>
        <w:tabs>
          <w:tab w:val="num" w:pos="540"/>
        </w:tabs>
        <w:ind w:left="540" w:hanging="260"/>
      </w:pPr>
    </w:lvl>
  </w:abstract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nBY+soLLK3a39lob++XQ+q/s+w==">CgMxLjA4AHIhMXpTamczWWZ6Nl9Md1FxbFJsV0QtTk9jdXNzNUVaQlpZ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Camila Aroca Muñoz</dc:creator>
  <dc:title>Definición Proyecto APT Fase 1 - Actualizada</dc:title>
  <dc:subject>Sistema de análisis y anticipación de demanda de urgencia en salud mental para la Región Metropolitana</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