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 w:after="40"/>
      </w:pPr>
      <w:r>
        <w:rPr>
          <w:rFonts w:ascii="Aptos Display" w:hAnsi="Aptos Display"/>
          <w:b/>
          <w:color w:val="17384D"/>
          <w:sz w:val="44"/>
        </w:rPr>
        <w:t>BITÁCORA DE ENTREVISTA</w:t>
      </w:r>
    </w:p>
    <w:p>
      <w:pPr>
        <w:widowControl/>
        <w:spacing w:after="240"/>
      </w:pPr>
      <w:r>
        <w:rPr>
          <w:rFonts w:ascii="Aptos Display" w:hAnsi="Aptos Display"/>
          <w:color w:val="2E5D7B"/>
          <w:sz w:val="25"/>
        </w:rPr>
        <w:t>Levantamiento de necesidades en atención de salud mental y gestión de cupos de hospitalización</w:t>
      </w:r>
    </w:p>
    <w:tbl>
      <w:tblPr>
        <w:tblStyle w:val="TableGrid"/>
        <w:tblW w:type="dxa" w:w="9360"/>
        <w:tblLayout w:type="fixed"/>
        <w:tblLook w:firstColumn="1" w:firstRow="1" w:lastColumn="0" w:lastRow="0" w:noHBand="0" w:noVBand="1" w:val="04A0"/>
        <w:tblInd w:w="120" w:type="dxa"/>
      </w:tblPr>
      <w:tblGrid>
        <w:gridCol w:w="2100"/>
        <w:gridCol w:w="7260"/>
      </w:tblGrid>
      <w:tr>
        <w:tc>
          <w:tcPr>
            <w:tcW w:type="dxa" w:w="2100"/>
            <w:shd w:fill="EAF1F5"/>
            <w:tcMar>
              <w:top w:w="100" w:type="dxa"/>
              <w:start w:w="130" w:type="dxa"/>
              <w:bottom w:w="100" w:type="dxa"/>
              <w:end w:w="130" w:type="dxa"/>
            </w:tcMar>
            <w:vAlign w:val="center"/>
          </w:tcPr>
          <w:p>
            <w:r>
              <w:rPr>
                <w:b/>
                <w:color w:val="17384D"/>
              </w:rPr>
              <w:t>Fecha</w:t>
            </w:r>
          </w:p>
        </w:tc>
        <w:tc>
          <w:tcPr>
            <w:tcW w:type="dxa" w:w="7260"/>
            <w:tcMar>
              <w:top w:w="100" w:type="dxa"/>
              <w:start w:w="130" w:type="dxa"/>
              <w:bottom w:w="100" w:type="dxa"/>
              <w:end w:w="130" w:type="dxa"/>
            </w:tcMar>
            <w:vAlign w:val="center"/>
          </w:tcPr>
          <w:p>
            <w:r>
              <w:t>17 de agosto de 2026</w:t>
            </w:r>
          </w:p>
        </w:tc>
      </w:tr>
      <w:tr>
        <w:tc>
          <w:tcPr>
            <w:tcW w:type="dxa" w:w="2100"/>
            <w:shd w:fill="EAF1F5"/>
            <w:tcMar>
              <w:top w:w="100" w:type="dxa"/>
              <w:start w:w="130" w:type="dxa"/>
              <w:bottom w:w="100" w:type="dxa"/>
              <w:end w:w="130" w:type="dxa"/>
            </w:tcMar>
            <w:vAlign w:val="center"/>
          </w:tcPr>
          <w:p>
            <w:r>
              <w:rPr>
                <w:b/>
                <w:color w:val="17384D"/>
              </w:rPr>
              <w:t>Horario</w:t>
            </w:r>
          </w:p>
        </w:tc>
        <w:tc>
          <w:tcPr>
            <w:tcW w:type="dxa" w:w="7260"/>
            <w:tcMar>
              <w:top w:w="100" w:type="dxa"/>
              <w:start w:w="130" w:type="dxa"/>
              <w:bottom w:w="100" w:type="dxa"/>
              <w:end w:w="130" w:type="dxa"/>
            </w:tcMar>
            <w:vAlign w:val="center"/>
          </w:tcPr>
          <w:p>
            <w:r>
              <w:t>11:00 a 11:30 horas</w:t>
            </w:r>
          </w:p>
        </w:tc>
      </w:tr>
      <w:tr>
        <w:tc>
          <w:tcPr>
            <w:tcW w:type="dxa" w:w="2100"/>
            <w:shd w:fill="EAF1F5"/>
            <w:tcMar>
              <w:top w:w="100" w:type="dxa"/>
              <w:start w:w="130" w:type="dxa"/>
              <w:bottom w:w="100" w:type="dxa"/>
              <w:end w:w="130" w:type="dxa"/>
            </w:tcMar>
            <w:vAlign w:val="center"/>
          </w:tcPr>
          <w:p>
            <w:r>
              <w:rPr>
                <w:b/>
                <w:color w:val="17384D"/>
              </w:rPr>
              <w:t>Modalidad</w:t>
            </w:r>
          </w:p>
        </w:tc>
        <w:tc>
          <w:tcPr>
            <w:tcW w:type="dxa" w:w="7260"/>
            <w:tcMar>
              <w:top w:w="100" w:type="dxa"/>
              <w:start w:w="130" w:type="dxa"/>
              <w:bottom w:w="100" w:type="dxa"/>
              <w:end w:w="130" w:type="dxa"/>
            </w:tcMar>
            <w:vAlign w:val="center"/>
          </w:tcPr>
          <w:p>
            <w:r>
              <w:t>Reunión virtual vía Google Meet</w:t>
            </w:r>
          </w:p>
        </w:tc>
      </w:tr>
      <w:tr>
        <w:tc>
          <w:tcPr>
            <w:tcW w:type="dxa" w:w="2100"/>
            <w:shd w:fill="EAF1F5"/>
            <w:tcMar>
              <w:top w:w="100" w:type="dxa"/>
              <w:start w:w="130" w:type="dxa"/>
              <w:bottom w:w="100" w:type="dxa"/>
              <w:end w:w="130" w:type="dxa"/>
            </w:tcMar>
            <w:vAlign w:val="center"/>
          </w:tcPr>
          <w:p>
            <w:r>
              <w:rPr>
                <w:b/>
                <w:color w:val="17384D"/>
              </w:rPr>
              <w:t>Entrevistada</w:t>
            </w:r>
          </w:p>
        </w:tc>
        <w:tc>
          <w:tcPr>
            <w:tcW w:type="dxa" w:w="7260"/>
            <w:tcMar>
              <w:top w:w="100" w:type="dxa"/>
              <w:start w:w="130" w:type="dxa"/>
              <w:bottom w:w="100" w:type="dxa"/>
              <w:end w:w="130" w:type="dxa"/>
            </w:tcMar>
            <w:vAlign w:val="center"/>
          </w:tcPr>
          <w:p>
            <w:r>
              <w:t>Belén Guzmán, psicóloga</w:t>
            </w:r>
          </w:p>
        </w:tc>
      </w:tr>
      <w:tr>
        <w:tc>
          <w:tcPr>
            <w:tcW w:type="dxa" w:w="2100"/>
            <w:shd w:fill="EAF1F5"/>
            <w:tcMar>
              <w:top w:w="100" w:type="dxa"/>
              <w:start w:w="130" w:type="dxa"/>
              <w:bottom w:w="100" w:type="dxa"/>
              <w:end w:w="130" w:type="dxa"/>
            </w:tcMar>
            <w:vAlign w:val="center"/>
          </w:tcPr>
          <w:p>
            <w:r>
              <w:rPr>
                <w:b/>
                <w:color w:val="17384D"/>
              </w:rPr>
              <w:t>Participantes</w:t>
            </w:r>
          </w:p>
        </w:tc>
        <w:tc>
          <w:tcPr>
            <w:tcW w:type="dxa" w:w="7260"/>
            <w:tcMar>
              <w:top w:w="100" w:type="dxa"/>
              <w:start w:w="130" w:type="dxa"/>
              <w:bottom w:w="100" w:type="dxa"/>
              <w:end w:w="130" w:type="dxa"/>
            </w:tcMar>
            <w:vAlign w:val="center"/>
          </w:tcPr>
          <w:p>
            <w:r>
              <w:t>Camila Aroca y Catalina Rodríguez</w:t>
            </w:r>
          </w:p>
        </w:tc>
      </w:tr>
    </w:tbl>
    <w:p>
      <w:pPr>
        <w:pStyle w:val="Heading1"/>
        <w:keepNext/>
        <w:widowControl/>
      </w:pPr>
      <w:r>
        <w:t>1. Objetivo de la entrevista</w:t>
      </w:r>
    </w:p>
    <w:p>
      <w:pPr>
        <w:widowControl/>
      </w:pPr>
      <w:r>
        <w:t>Comprender, desde la experiencia de una profesional de la psicología, cómo se obtiene actualmente la información necesaria para derivar y hospitalizar a pacientes en crisis, identificar las principales brechas del proceso y explorar oportunidades para una solución tecnológica basada en datos.</w:t>
      </w:r>
    </w:p>
    <w:p>
      <w:pPr>
        <w:pStyle w:val="Heading1"/>
        <w:keepNext/>
        <w:widowControl/>
      </w:pPr>
      <w:r>
        <w:t>2. Síntesis ejecutiva</w:t>
      </w:r>
    </w:p>
    <w:p>
      <w:pPr>
        <w:spacing w:before="40" w:after="160"/>
        <w:widowControl/>
        <w:shd w:fill="EAF1F5"/>
      </w:pPr>
      <w:r>
        <w:rPr>
          <w:b/>
          <w:color w:val="17384D"/>
        </w:rPr>
        <w:t>La necesidad prioritaria identificada no es únicamente conocer información de un centro específico, sino disponer de una visión integrada, confiable y permanentemente actualizada sobre cupos de hospitalización para pacientes en crisis. La solución debería indicar no sólo si existe disponibilidad, sino también qué tipos de pacientes puede recibir cada institución, qué unidades posee y con qué profesionales es posible contactarse.</w:t>
      </w:r>
    </w:p>
    <w:p>
      <w:pPr>
        <w:widowControl/>
      </w:pPr>
      <w:r>
        <w:t>Actualmente, la información se consulta institución por institución y, en la práctica, los profesionales recurren a sus redes personales de contacto. Esta fragmentación se vuelve especialmente crítica cuando la derivación debe resolverse durante el mismo día y la condición del paciente no admite demora.</w:t>
      </w:r>
    </w:p>
    <w:p>
      <w:pPr>
        <w:pStyle w:val="Heading1"/>
        <w:keepNext/>
        <w:widowControl/>
      </w:pPr>
      <w:r>
        <w:t>3. Hallazgos principales</w:t>
      </w:r>
    </w:p>
    <w:p>
      <w:pPr>
        <w:pStyle w:val="Heading2"/>
        <w:keepNext/>
        <w:widowControl/>
      </w:pPr>
      <w:r>
        <w:t>3.1 Acceso actual a la información</w:t>
      </w:r>
    </w:p>
    <w:p>
      <w:pPr>
        <w:pStyle w:val="ListBullet"/>
        <w:widowControl/>
      </w:pPr>
      <w:r>
        <w:t>La información de un centro particular puede ser relativamente fácil de obtener, por ejemplo, su lista de espera o si dispone de cupos.</w:t>
      </w:r>
    </w:p>
    <w:p>
      <w:pPr>
        <w:pStyle w:val="ListBullet"/>
        <w:widowControl/>
      </w:pPr>
      <w:r>
        <w:t>No existe una fuente integrada que permita identificar rápidamente dónde se concentra la necesidad ni qué institución puede recibir a un paciente específico.</w:t>
      </w:r>
    </w:p>
    <w:p>
      <w:pPr>
        <w:pStyle w:val="ListBullet"/>
        <w:widowControl/>
      </w:pPr>
      <w:r>
        <w:t>La búsqueda debe realizarse hospital por hospital o clínica por clínica.</w:t>
      </w:r>
    </w:p>
    <w:p>
      <w:pPr>
        <w:pStyle w:val="ListBullet"/>
        <w:widowControl/>
      </w:pPr>
      <w:r>
        <w:t>En la práctica, psicólogos y psiquiatras suelen gestionar la búsqueda a través de sus propias redes de contactos profesionales.</w:t>
      </w:r>
    </w:p>
    <w:p>
      <w:pPr>
        <w:pStyle w:val="ListBullet"/>
        <w:widowControl/>
      </w:pPr>
      <w:r>
        <w:t>La liberación de un cupo puede tardar aproximadamente una semana, lo que resulta incompatible con ciertos escenarios de urgencia.</w:t>
      </w:r>
    </w:p>
    <w:p>
      <w:pPr>
        <w:pStyle w:val="Heading2"/>
        <w:keepNext/>
        <w:widowControl/>
      </w:pPr>
      <w:r>
        <w:t>3.2 Problema crítico: pacientes en crisis</w:t>
      </w:r>
    </w:p>
    <w:p>
      <w:pPr>
        <w:pStyle w:val="ListBullet"/>
        <w:widowControl/>
      </w:pPr>
      <w:r>
        <w:t>En una situación de crisis, obtener la información necesaria durante el mismo día puede ser un proceso engorroso.</w:t>
      </w:r>
    </w:p>
    <w:p>
      <w:pPr>
        <w:pStyle w:val="ListBullet"/>
        <w:widowControl/>
      </w:pPr>
      <w:r>
        <w:t>La urgencia clínica exige que la información sea inmediata, ya que una demora puede aumentar el riesgo para el paciente, su familia o terceros.</w:t>
      </w:r>
    </w:p>
    <w:p>
      <w:pPr>
        <w:pStyle w:val="ListBullet"/>
        <w:widowControl/>
      </w:pPr>
      <w:r>
        <w:t>La entrevistada plantea la necesidad de una plataforma actualizada en tiempo real —idealmente, segundo a segundo— sobre cupos disponibles en hospitales, clínicas de corta estadía u otros centros pertinentes.</w:t>
      </w:r>
    </w:p>
    <w:p>
      <w:pPr>
        <w:pStyle w:val="Heading2"/>
        <w:keepNext/>
        <w:widowControl/>
      </w:pPr>
      <w:r>
        <w:t>3.3 La disponibilidad debe considerar compatibilidad clínica</w:t>
      </w:r>
    </w:p>
    <w:p>
      <w:pPr>
        <w:widowControl/>
      </w:pPr>
      <w:r>
        <w:t>Un cupo libre no necesariamente equivale a un cupo adecuado. La plataforma debería informar, al menos:</w:t>
      </w:r>
    </w:p>
    <w:p>
      <w:pPr>
        <w:pStyle w:val="ListBullet"/>
        <w:widowControl/>
      </w:pPr>
      <w:r>
        <w:t>Tipo de unidad o modalidad de hospitalización disponible.</w:t>
      </w:r>
    </w:p>
    <w:p>
      <w:pPr>
        <w:pStyle w:val="ListBullet"/>
        <w:widowControl/>
      </w:pPr>
      <w:r>
        <w:t>Rango etario admitido, por ejemplo, si la institución recibe adolescentes.</w:t>
      </w:r>
    </w:p>
    <w:p>
      <w:pPr>
        <w:pStyle w:val="ListBullet"/>
        <w:widowControl/>
      </w:pPr>
      <w:r>
        <w:t>Condiciones o perfiles clínicos que el establecimiento está capacitado para atender, como trastornos de la conducta alimentaria u otras necesidades específicas.</w:t>
      </w:r>
    </w:p>
    <w:p>
      <w:pPr>
        <w:pStyle w:val="ListBullet"/>
        <w:widowControl/>
      </w:pPr>
      <w:r>
        <w:t>Profesionales o unidades de contacto disponibles para coordinar una eventual derivación.</w:t>
      </w:r>
    </w:p>
    <w:p>
      <w:pPr>
        <w:pStyle w:val="Heading1"/>
        <w:keepNext/>
        <w:widowControl/>
      </w:pPr>
      <w:r>
        <w:t>4. Flujo actual descrito para una situación de crisis</w:t>
      </w:r>
    </w:p>
    <w:p>
      <w:pPr>
        <w:pStyle w:val="ListNumber"/>
        <w:widowControl/>
        <w:numPr>
          <w:ilvl w:val="0"/>
          <w:numId w:val="10"/>
        </w:numPr>
      </w:pPr>
      <w:r>
        <w:rPr>
          <w:b/>
        </w:rPr>
        <w:t xml:space="preserve">Hospitalización o supervisión domiciliaria. </w:t>
      </w:r>
      <w:r>
        <w:t>Como primera medida, la familia puede asumir la vigilancia del paciente durante las 24 horas del día. En este escenario, la responsabilidad inmediata de supervisión recae en el entorno familiar.</w:t>
      </w:r>
    </w:p>
    <w:p>
      <w:pPr>
        <w:pStyle w:val="ListNumber"/>
        <w:widowControl/>
        <w:numPr>
          <w:ilvl w:val="0"/>
          <w:numId w:val="10"/>
        </w:numPr>
      </w:pPr>
      <w:r>
        <w:rPr>
          <w:b/>
        </w:rPr>
        <w:t xml:space="preserve">Evaluación del aumento del riesgo. </w:t>
      </w:r>
      <w:r>
        <w:t>Si la supervisión domiciliaria no resulta suficiente, el entorno se vuelve peligroso o la persona presenta conductas agresivas, se considera la derivación a una institución.</w:t>
      </w:r>
    </w:p>
    <w:p>
      <w:pPr>
        <w:pStyle w:val="ListNumber"/>
        <w:widowControl/>
        <w:numPr>
          <w:ilvl w:val="0"/>
          <w:numId w:val="10"/>
        </w:numPr>
      </w:pPr>
      <w:r>
        <w:rPr>
          <w:b/>
        </w:rPr>
        <w:t xml:space="preserve">Ingreso por urgencia en el sistema público. </w:t>
      </w:r>
      <w:r>
        <w:t>La persona acude a una urgencia general. El médico receptor se contacta con el psiquiatra tratante y, de acuerdo con lo señalado, habitualmente el paciente es recibido, estabilizado y posteriormente enviado a su domicilio.</w:t>
      </w:r>
    </w:p>
    <w:p>
      <w:pPr>
        <w:pStyle w:val="ListNumber"/>
        <w:widowControl/>
        <w:numPr>
          <w:ilvl w:val="0"/>
          <w:numId w:val="10"/>
        </w:numPr>
      </w:pPr>
      <w:r>
        <w:rPr>
          <w:b/>
        </w:rPr>
        <w:t xml:space="preserve">Búsqueda de hospitalización. </w:t>
      </w:r>
      <w:r>
        <w:t>Cuando se requiere una hospitalización, el profesional debe consultar instituciones y redes de contacto hasta encontrar un cupo compatible con las necesidades del paciente.</w:t>
      </w:r>
    </w:p>
    <w:p>
      <w:pPr>
        <w:pStyle w:val="Heading1"/>
        <w:keepNext/>
        <w:widowControl/>
      </w:pPr>
      <w:r>
        <w:t>5. Consideraciones del sistema público y privado</w:t>
      </w:r>
    </w:p>
    <w:tbl>
      <w:tblPr>
        <w:tblStyle w:val="TableGrid"/>
        <w:tblW w:type="dxa" w:w="9360"/>
        <w:tblLayout w:type="fixed"/>
        <w:tblLook w:firstColumn="1" w:firstRow="1" w:lastColumn="0" w:lastRow="0" w:noHBand="0" w:noVBand="1" w:val="04A0"/>
        <w:tblInd w:w="120" w:type="dxa"/>
      </w:tblPr>
      <w:tblGrid>
        <w:gridCol w:w="1600"/>
        <w:gridCol w:w="3880"/>
        <w:gridCol w:w="3880"/>
      </w:tblGrid>
      <w:tr>
        <w:trPr>
          <w:tblHeader w:val="true"/>
        </w:trPr>
        <w:tc>
          <w:tcPr>
            <w:tcW w:type="dxa" w:w="1600"/>
            <w:shd w:fill="2E5D7B"/>
            <w:tcMar>
              <w:top w:w="100" w:type="dxa"/>
              <w:start w:w="130" w:type="dxa"/>
              <w:bottom w:w="100" w:type="dxa"/>
              <w:end w:w="130" w:type="dxa"/>
            </w:tcMar>
            <w:vAlign w:val="center"/>
          </w:tcPr>
          <w:p>
            <w:r>
              <w:rPr>
                <w:b/>
                <w:color w:val="FFFFFF"/>
              </w:rPr>
              <w:t>Dimensión</w:t>
            </w:r>
          </w:p>
        </w:tc>
        <w:tc>
          <w:tcPr>
            <w:tcW w:type="dxa" w:w="3880"/>
            <w:shd w:fill="2E5D7B"/>
            <w:tcMar>
              <w:top w:w="100" w:type="dxa"/>
              <w:start w:w="130" w:type="dxa"/>
              <w:bottom w:w="100" w:type="dxa"/>
              <w:end w:w="130" w:type="dxa"/>
            </w:tcMar>
            <w:vAlign w:val="center"/>
          </w:tcPr>
          <w:p>
            <w:r>
              <w:rPr>
                <w:b/>
                <w:color w:val="FFFFFF"/>
              </w:rPr>
              <w:t>Sistema público</w:t>
            </w:r>
          </w:p>
        </w:tc>
        <w:tc>
          <w:tcPr>
            <w:tcW w:type="dxa" w:w="3880"/>
            <w:shd w:fill="2E5D7B"/>
            <w:tcMar>
              <w:top w:w="100" w:type="dxa"/>
              <w:start w:w="130" w:type="dxa"/>
              <w:bottom w:w="100" w:type="dxa"/>
              <w:end w:w="130" w:type="dxa"/>
            </w:tcMar>
            <w:vAlign w:val="center"/>
          </w:tcPr>
          <w:p>
            <w:r>
              <w:rPr>
                <w:b/>
                <w:color w:val="FFFFFF"/>
              </w:rPr>
              <w:t>Sistema privado</w:t>
            </w:r>
          </w:p>
        </w:tc>
      </w:tr>
      <w:tr>
        <w:tc>
          <w:tcPr>
            <w:tcW w:type="dxa" w:w="1600"/>
            <w:shd w:fill="EAF1F5"/>
            <w:tcMar>
              <w:top w:w="100" w:type="dxa"/>
              <w:start w:w="130" w:type="dxa"/>
              <w:bottom w:w="100" w:type="dxa"/>
              <w:end w:w="130" w:type="dxa"/>
            </w:tcMar>
            <w:vAlign w:val="center"/>
          </w:tcPr>
          <w:p>
            <w:r>
              <w:rPr>
                <w:b/>
              </w:rPr>
              <w:t>Derivación</w:t>
            </w:r>
          </w:p>
        </w:tc>
        <w:tc>
          <w:tcPr>
            <w:tcW w:type="dxa" w:w="3880"/>
            <w:tcMar>
              <w:top w:w="100" w:type="dxa"/>
              <w:start w:w="130" w:type="dxa"/>
              <w:bottom w:w="100" w:type="dxa"/>
              <w:end w:w="130" w:type="dxa"/>
            </w:tcMar>
            <w:vAlign w:val="center"/>
          </w:tcPr>
          <w:p>
            <w:r>
              <w:t>Existe la posibilidad de derivar al paciente a través de la red pública.</w:t>
            </w:r>
          </w:p>
        </w:tc>
        <w:tc>
          <w:tcPr>
            <w:tcW w:type="dxa" w:w="3880"/>
            <w:tcMar>
              <w:top w:w="100" w:type="dxa"/>
              <w:start w:w="130" w:type="dxa"/>
              <w:bottom w:w="100" w:type="dxa"/>
              <w:end w:w="130" w:type="dxa"/>
            </w:tcMar>
            <w:vAlign w:val="center"/>
          </w:tcPr>
          <w:p>
            <w:r>
              <w:t>Podría ser más factible comenzar el levantamiento con clínicas o centros de rehabilitación privados.</w:t>
            </w:r>
          </w:p>
        </w:tc>
      </w:tr>
      <w:tr>
        <w:tc>
          <w:tcPr>
            <w:tcW w:type="dxa" w:w="1600"/>
            <w:shd w:fill="EAF1F5"/>
            <w:tcMar>
              <w:top w:w="100" w:type="dxa"/>
              <w:start w:w="130" w:type="dxa"/>
              <w:bottom w:w="100" w:type="dxa"/>
              <w:end w:w="130" w:type="dxa"/>
            </w:tcMar>
            <w:vAlign w:val="center"/>
          </w:tcPr>
          <w:p>
            <w:r>
              <w:rPr>
                <w:b/>
              </w:rPr>
              <w:t>Ruta de ingreso</w:t>
            </w:r>
          </w:p>
        </w:tc>
        <w:tc>
          <w:tcPr>
            <w:tcW w:type="dxa" w:w="3880"/>
            <w:tcMar>
              <w:top w:w="100" w:type="dxa"/>
              <w:start w:w="130" w:type="dxa"/>
              <w:bottom w:w="100" w:type="dxa"/>
              <w:end w:w="130" w:type="dxa"/>
            </w:tcMar>
            <w:vAlign w:val="center"/>
          </w:tcPr>
          <w:p>
            <w:r>
              <w:t>El ingreso puede producirse por urgencia general; el proceso varía si el paciente accede mediante GES o fuera de GES.</w:t>
            </w:r>
          </w:p>
        </w:tc>
        <w:tc>
          <w:tcPr>
            <w:tcW w:type="dxa" w:w="3880"/>
            <w:tcMar>
              <w:top w:w="100" w:type="dxa"/>
              <w:start w:w="130" w:type="dxa"/>
              <w:bottom w:w="100" w:type="dxa"/>
              <w:end w:w="130" w:type="dxa"/>
            </w:tcMar>
            <w:vAlign w:val="center"/>
          </w:tcPr>
          <w:p>
            <w:r>
              <w:t>La ruta depende de los protocolos y criterios de admisión de cada institución.</w:t>
            </w:r>
          </w:p>
        </w:tc>
      </w:tr>
      <w:tr>
        <w:tc>
          <w:tcPr>
            <w:tcW w:type="dxa" w:w="1600"/>
            <w:shd w:fill="EAF1F5"/>
            <w:tcMar>
              <w:top w:w="100" w:type="dxa"/>
              <w:start w:w="130" w:type="dxa"/>
              <w:bottom w:w="100" w:type="dxa"/>
              <w:end w:w="130" w:type="dxa"/>
            </w:tcMar>
            <w:vAlign w:val="center"/>
          </w:tcPr>
          <w:p>
            <w:r>
              <w:rPr>
                <w:b/>
              </w:rPr>
              <w:t>Disponibilidad de datos</w:t>
            </w:r>
          </w:p>
        </w:tc>
        <w:tc>
          <w:tcPr>
            <w:tcW w:type="dxa" w:w="3880"/>
            <w:tcMar>
              <w:top w:w="100" w:type="dxa"/>
              <w:start w:w="130" w:type="dxa"/>
              <w:bottom w:w="100" w:type="dxa"/>
              <w:end w:w="130" w:type="dxa"/>
            </w:tcMar>
            <w:vAlign w:val="center"/>
          </w:tcPr>
          <w:p>
            <w:r>
              <w:t>La integración podría requerir mayor coordinación institucional y revisión de acceso a datos.</w:t>
            </w:r>
          </w:p>
        </w:tc>
        <w:tc>
          <w:tcPr>
            <w:tcW w:type="dxa" w:w="3880"/>
            <w:tcMar>
              <w:top w:w="100" w:type="dxa"/>
              <w:start w:w="130" w:type="dxa"/>
              <w:bottom w:w="100" w:type="dxa"/>
              <w:end w:w="130" w:type="dxa"/>
            </w:tcMar>
            <w:vAlign w:val="center"/>
          </w:tcPr>
          <w:p>
            <w:r>
              <w:t>Se percibe como un posible punto de partida más abordable para validar una solución.</w:t>
            </w:r>
          </w:p>
        </w:tc>
      </w:tr>
    </w:tbl>
    <w:p>
      <w:pPr>
        <w:pStyle w:val="Heading1"/>
        <w:keepNext/>
        <w:widowControl/>
      </w:pPr>
      <w:r>
        <w:t>6. Continuidad de la atención e información clínica</w:t>
      </w:r>
    </w:p>
    <w:p>
      <w:pPr>
        <w:widowControl/>
      </w:pPr>
      <w:r>
        <w:t>Durante la hospitalización, el paciente pasa a ser atendido por el equipo de la institución receptora y, en general, mantiene poco o ningún contacto con su equipo tratante habitual. Esto puede generar una brecha de continuidad y visibilidad sobre la evolución del caso.</w:t>
      </w:r>
    </w:p>
    <w:p>
      <w:pPr>
        <w:widowControl/>
      </w:pPr>
      <w:r>
        <w:t>Como posibilidad futura, se mencionó incorporar o habilitar acceso a información clínica relevante durante la estadía, por ejemplo: profesionales que atendieron al paciente, tratamiento administrado, medicamentos indicados y evolución general.</w:t>
      </w:r>
    </w:p>
    <w:p>
      <w:pPr>
        <w:spacing w:before="80" w:after="160"/>
        <w:widowControl/>
        <w:shd w:fill="FFF3CD"/>
      </w:pPr>
      <w:r>
        <w:rPr>
          <w:b/>
          <w:color w:val="7A5A00"/>
        </w:rPr>
        <w:t xml:space="preserve">Punto por validar: </w:t>
      </w:r>
      <w:r>
        <w:t>se debe investigar si la falta de acceso del equipo tratante a esta información responde a restricciones legales, reglas de confidencialidad, ausencia de interoperabilidad o simplemente a un flujo de comunicación insuficiente. También debe verificarse qué información puede solicitarse, quién puede acceder a ella y bajo qué consentimiento o base jurídica.</w:t>
      </w:r>
    </w:p>
    <w:p>
      <w:pPr>
        <w:pStyle w:val="Heading1"/>
        <w:keepNext/>
        <w:widowControl/>
      </w:pPr>
      <w:r>
        <w:t>7. Necesidad de solución identificada</w:t>
      </w:r>
    </w:p>
    <w:p>
      <w:pPr>
        <w:widowControl/>
      </w:pPr>
      <w:r>
        <w:t>La entrevista permite formular preliminarmente la oportunidad como una plataforma de coordinación para derivaciones de salud mental en situaciones de crisis. Su propósito sería reducir el tiempo de búsqueda y mejorar la correspondencia entre las necesidades del paciente y la capacidad real de cada institución.</w:t>
      </w:r>
    </w:p>
    <w:p>
      <w:pPr>
        <w:pStyle w:val="Heading2"/>
        <w:keepNext/>
        <w:widowControl/>
      </w:pPr>
      <w:r>
        <w:t>Información mínima sugerida para un primer alcance</w:t>
      </w:r>
    </w:p>
    <w:p>
      <w:pPr>
        <w:pStyle w:val="ListBullet"/>
        <w:widowControl/>
      </w:pPr>
      <w:r>
        <w:t>Institución, ubicación y datos de contacto actualizados.</w:t>
      </w:r>
    </w:p>
    <w:p>
      <w:pPr>
        <w:pStyle w:val="ListBullet"/>
        <w:widowControl/>
      </w:pPr>
      <w:r>
        <w:t>Número de cupos disponibles y hora de la última actualización.</w:t>
      </w:r>
    </w:p>
    <w:p>
      <w:pPr>
        <w:pStyle w:val="ListBullet"/>
        <w:widowControl/>
      </w:pPr>
      <w:r>
        <w:t>Tipo de unidad, modalidad y duración estimada de hospitalización.</w:t>
      </w:r>
    </w:p>
    <w:p>
      <w:pPr>
        <w:pStyle w:val="ListBullet"/>
        <w:widowControl/>
      </w:pPr>
      <w:r>
        <w:t>Perfiles de pacientes admitidos y criterios de exclusión.</w:t>
      </w:r>
    </w:p>
    <w:p>
      <w:pPr>
        <w:pStyle w:val="ListBullet"/>
        <w:widowControl/>
      </w:pPr>
      <w:r>
        <w:t>Rangos etarios y necesidades clínicas que pueden atenderse.</w:t>
      </w:r>
    </w:p>
    <w:p>
      <w:pPr>
        <w:pStyle w:val="ListBullet"/>
        <w:widowControl/>
      </w:pPr>
      <w:r>
        <w:t>Canal y profesional o unidad responsable de coordinar la derivación.</w:t>
      </w:r>
    </w:p>
    <w:p>
      <w:pPr>
        <w:pStyle w:val="ListBullet"/>
        <w:widowControl/>
      </w:pPr>
      <w:r>
        <w:t>Diferenciación de rutas de ingreso: público, privado, GES y no GES.</w:t>
      </w:r>
    </w:p>
    <w:p>
      <w:pPr>
        <w:pStyle w:val="Heading1"/>
        <w:keepNext/>
        <w:widowControl/>
      </w:pPr>
      <w:r>
        <w:t>8. Preguntas y líneas de investigación pendientes</w:t>
      </w:r>
    </w:p>
    <w:p>
      <w:pPr>
        <w:pStyle w:val="ListBullet"/>
        <w:widowControl/>
      </w:pPr>
      <w:r>
        <w:t>¿Qué instituciones estarían dispuestas y autorizadas para informar disponibilidad de cupos con actualización frecuente?</w:t>
      </w:r>
    </w:p>
    <w:p>
      <w:pPr>
        <w:pStyle w:val="ListBullet"/>
        <w:widowControl/>
      </w:pPr>
      <w:r>
        <w:t>¿Quién genera, mantiene y valida el dato de disponibilidad dentro de cada institución?</w:t>
      </w:r>
    </w:p>
    <w:p>
      <w:pPr>
        <w:pStyle w:val="ListBullet"/>
        <w:widowControl/>
      </w:pPr>
      <w:r>
        <w:t>¿Con qué frecuencia realista puede actualizarse la información y cómo se evita que un cupo aparezca disponible después de ser asignado?</w:t>
      </w:r>
    </w:p>
    <w:p>
      <w:pPr>
        <w:pStyle w:val="ListBullet"/>
        <w:widowControl/>
      </w:pPr>
      <w:r>
        <w:t>¿Qué variables determinan que un paciente sea compatible con un cupo específico?</w:t>
      </w:r>
    </w:p>
    <w:p>
      <w:pPr>
        <w:pStyle w:val="ListBullet"/>
        <w:widowControl/>
      </w:pPr>
      <w:r>
        <w:t>¿Cómo cambian el flujo y los responsables cuando el paciente ingresa mediante GES o fuera de GES?</w:t>
      </w:r>
    </w:p>
    <w:p>
      <w:pPr>
        <w:pStyle w:val="ListBullet"/>
        <w:widowControl/>
      </w:pPr>
      <w:r>
        <w:t>¿Qué normas regulan el intercambio de información clínica entre la institución de hospitalización y el equipo tratante habitual?</w:t>
      </w:r>
    </w:p>
    <w:p>
      <w:pPr>
        <w:pStyle w:val="ListBullet"/>
        <w:widowControl/>
      </w:pPr>
      <w:r>
        <w:t>¿Qué datos personales o sensibles serían estrictamente necesarios y cuáles deberían excluirse de un producto mínimo viable?</w:t>
      </w:r>
    </w:p>
    <w:p>
      <w:pPr>
        <w:pStyle w:val="ListBullet"/>
        <w:widowControl/>
      </w:pPr>
      <w:r>
        <w:t>¿Conviene validar primero la propuesta con centros privados antes de explorar una integración con la red pública?</w:t>
      </w:r>
    </w:p>
    <w:p>
      <w:pPr>
        <w:pStyle w:val="Heading1"/>
        <w:keepNext/>
        <w:widowControl/>
      </w:pPr>
      <w:r>
        <w:t>9. Próximos pasos propuestos</w:t>
      </w:r>
    </w:p>
    <w:p>
      <w:pPr>
        <w:pStyle w:val="ListNumber"/>
        <w:widowControl/>
        <w:numPr>
          <w:ilvl w:val="0"/>
          <w:numId w:val="11"/>
        </w:numPr>
      </w:pPr>
      <w:r>
        <w:t>Mapear el proceso de derivación completo y sus actores: paciente, familia, psicólogo, psiquiatra, urgencia, institución receptora y asegurador o sistema de cobertura.</w:t>
      </w:r>
    </w:p>
    <w:p>
      <w:pPr>
        <w:pStyle w:val="ListNumber"/>
        <w:widowControl/>
        <w:numPr>
          <w:ilvl w:val="0"/>
          <w:numId w:val="11"/>
        </w:numPr>
      </w:pPr>
      <w:r>
        <w:t>Realizar entrevistas adicionales con psiquiatras, personal de urgencia y representantes de clínicas u hospitales para contrastar el problema desde distintos roles.</w:t>
      </w:r>
    </w:p>
    <w:p>
      <w:pPr>
        <w:pStyle w:val="ListNumber"/>
        <w:widowControl/>
        <w:numPr>
          <w:ilvl w:val="0"/>
          <w:numId w:val="11"/>
        </w:numPr>
      </w:pPr>
      <w:r>
        <w:t>Definir un alcance inicial acotado, por ejemplo, una región y un conjunto de instituciones privadas de corta estadía.</w:t>
      </w:r>
    </w:p>
    <w:p>
      <w:pPr>
        <w:pStyle w:val="ListNumber"/>
        <w:widowControl/>
        <w:numPr>
          <w:ilvl w:val="0"/>
          <w:numId w:val="11"/>
        </w:numPr>
      </w:pPr>
      <w:r>
        <w:t>Investigar disponibilidad, calidad, formato y restricciones de acceso de las fuentes de datos necesarias.</w:t>
      </w:r>
    </w:p>
    <w:p>
      <w:pPr>
        <w:pStyle w:val="ListNumber"/>
        <w:widowControl/>
        <w:numPr>
          <w:ilvl w:val="0"/>
          <w:numId w:val="11"/>
        </w:numPr>
      </w:pPr>
      <w:r>
        <w:t>Revisar la normativa aplicable a datos de salud, fichas clínicas, consentimiento, confidencialidad e interoperabilidad antes de considerar información clínica identificable.</w:t>
      </w:r>
    </w:p>
    <w:p>
      <w:pPr>
        <w:pStyle w:val="ListNumber"/>
        <w:widowControl/>
        <w:numPr>
          <w:ilvl w:val="0"/>
          <w:numId w:val="11"/>
        </w:numPr>
      </w:pPr>
      <w:r>
        <w:t>Traducir los hallazgos en requisitos funcionales, criterios de priorización y una propuesta de producto mínimo viable.</w:t>
      </w:r>
    </w:p>
    <w:p>
      <w:pPr>
        <w:pStyle w:val="Heading1"/>
        <w:keepNext/>
        <w:widowControl/>
      </w:pPr>
      <w:r>
        <w:t>10. Observación para el proyecto</w:t>
      </w:r>
    </w:p>
    <w:p>
      <w:pPr>
        <w:widowControl/>
      </w:pPr>
      <w:r>
        <w:t>El hallazgo más relevante de la entrevista es el desplazamiento del foco desde una decisión de localización de consulta hacia un problema operativo y urgente de coordinación de capacidad asistencial. Este nuevo enfoque presenta una necesidad más clara, usuarios identificables y una oportunidad concreta de aplicar integración de datos, actualización de disponibilidad, reglas de compatibilidad y visualización para apoyar decisiones críticas. Su viabilidad, sin embargo, dependerá del acceso a datos institucionales y del cumplimiento de las exigencias legales y éticas asociadas a información de salud.</w:t>
      </w:r>
    </w:p>
    <w:p>
      <w:pPr>
        <w:pStyle w:val="Heading1"/>
        <w:keepNext/>
        <w:widowControl/>
      </w:pPr>
      <w:r>
        <w:t>11. Cierre</w:t>
      </w:r>
    </w:p>
    <w:p>
      <w:pPr>
        <w:widowControl/>
      </w:pPr>
      <w:r>
        <w:t>La sesión finalizó a las 11:30 horas. No se registraron compromisos formales durante la entrevista; los próximos pasos señalados corresponden a propuestas del equipo a partir de los hallazgos levantados.</w:t>
      </w:r>
    </w:p>
    <w:sectPr w:rsidR="00FC693F" w:rsidRPr="0006063C" w:rsidSect="00034616">
      <w:headerReference w:type="default" r:id="rId9"/>
      <w:footerReference w:type="default" r:id="rId10"/>
      <w:pgSz w:w="12240" w:h="15840"/>
      <w:pgMar w:top="979" w:right="1296" w:bottom="89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3"/>
        <w:sz w:val="16"/>
      </w:rPr>
      <w:t>Entrevista con profesional experta · 17 de agosto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3"/>
        <w:sz w:val="16"/>
      </w:rPr>
      <w:t>PROYECTO DE TÍTULO  |  BITÁCORA DE LEVANTAMIENTO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2E5D7B"/>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5D7B"/>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38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60" w:line="254"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4"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entrevista con Belén Guzmán</dc:title>
  <dc:subject>Levantamiento de necesidades para proyecto de título</dc:subject>
  <dc:creator>Camila Aroca y Catalina Rodríguez</dc:creator>
  <cp:keywords>salud mental, crisis, hospitalización, cupos, derivación, proyecto de título</cp:keywords>
  <dc:description>generated by python-docx</dc:description>
  <cp:lastModifiedBy/>
  <cp:revision>1</cp:revision>
  <dcterms:created xsi:type="dcterms:W3CDTF">2013-12-23T23:15:00Z</dcterms:created>
  <dcterms:modified xsi:type="dcterms:W3CDTF">2013-12-23T23:15:00Z</dcterms:modified>
  <cp:category/>
</cp:coreProperties>
</file>