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6000"/>
        <w:gridCol w:w="3360"/>
      </w:tblGrid>
      <w:tr>
        <w:tc>
          <w:tcPr>
            <w:tcW w:type="dxa" w:w="60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8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4472C4"/>
                <w:sz w:val="19"/>
              </w:rPr>
              <w:t>CAPSTONE · FASE 1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i w:val="0"/>
                <w:color w:val="213A64"/>
                <w:sz w:val="50"/>
              </w:rPr>
              <w:t>Bitácora de reunión</w:t>
            </w:r>
          </w:p>
          <w:p>
            <w:pPr>
              <w:spacing w:before="0" w:after="160"/>
            </w:pPr>
            <w:r>
              <w:rPr>
                <w:rFonts w:ascii="Arial" w:hAnsi="Arial"/>
                <w:b w:val="0"/>
                <w:i w:val="0"/>
                <w:color w:val="666666"/>
                <w:sz w:val="27"/>
              </w:rPr>
              <w:t>Definición y alcance del proyecto</w:t>
            </w:r>
          </w:p>
        </w:tc>
        <w:tc>
          <w:tcPr>
            <w:tcW w:type="dxa" w:w="336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874519" cy="419631"/>
                  <wp:docPr id="1" name="Picture 1" title="Logotipo Duoc UC" descr="Logotipo institucional de Duoc U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419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7"/>
          <w:left w:val="single" w:sz="5" w:color="D9DEE7"/>
          <w:bottom w:val="single" w:sz="5" w:color="D9DEE7"/>
          <w:right w:val="single" w:sz="5" w:color="D9DEE7"/>
          <w:insideH w:val="single" w:sz="5" w:color="D9DEE7"/>
          <w:insideV w:val="single" w:sz="5" w:color="D9DEE7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2F3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213A64"/>
                <w:sz w:val="19"/>
              </w:rPr>
              <w:t>Fecha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23 de agosto de 2026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2F3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213A64"/>
                <w:sz w:val="19"/>
              </w:rPr>
              <w:t>Objetivo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Definir el propósito, alcance y forma de trabajo del proyecto Capstone a partir de los datos y recursos disponibles.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2F3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213A64"/>
                <w:sz w:val="19"/>
              </w:rPr>
              <w:t>Participantes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Camila Aroca y equipo Capstone (completar nombres del resto del equipo).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2F3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213A64"/>
                <w:sz w:val="19"/>
              </w:rPr>
              <w:t>Modalidad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No registrada en las notas de la reunión.</w:t>
            </w:r>
          </w:p>
        </w:tc>
      </w:tr>
    </w:tbl>
    <w:p>
      <w:pPr>
        <w:keepNext w:val="0"/>
        <w:spacing w:before="0" w:after="40" w:line="264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4C6E7"/>
          <w:left w:val="single" w:sz="7" w:color="B4C6E7"/>
          <w:bottom w:val="single" w:sz="7" w:color="B4C6E7"/>
          <w:right w:val="single" w:sz="7" w:color="B4C6E7"/>
          <w:insideH w:val="single" w:sz="7" w:color="B4C6E7"/>
          <w:insideV w:val="single" w:sz="7" w:color="B4C6E7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3FA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/>
                <w:b/>
                <w:i w:val="0"/>
                <w:color w:val="213A64"/>
                <w:sz w:val="21"/>
              </w:rPr>
              <w:t>ACUERDO CENTRAL</w:t>
              <w:br/>
              <w:t>El proyecto se acota a una plataforma analítica que anticipa demanda de urgencias en salud mental, identifica brechas territoriales de accesibilidad y caracteriza la hospitalización psiquiátrica. Se descarta del MVP la gestión de cupos institucionales en tiempo real.</w:t>
            </w:r>
          </w:p>
        </w:tc>
      </w:tr>
    </w:tbl>
    <w:p>
      <w:pPr>
        <w:pStyle w:val="Heading1"/>
        <w:keepNext/>
      </w:pPr>
      <w:r>
        <w:t>1. Contexto y propósito de la reunión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La reunión tuvo como finalidad definir qué uso se dará a la información y a los recursos disponibles, y ajustar el proyecto a una escala compatible con el estándar de un proyecto de título y con el tiempo del semestre. El equipo revisó la propuesta surgida a partir de la entrevista con la psicóloga Belén Guzmán y la contrastó con la disponibilidad real de datos.</w:t>
      </w:r>
    </w:p>
    <w:p>
      <w:pPr>
        <w:pStyle w:val="Heading1"/>
        <w:keepNext/>
      </w:pPr>
      <w:r>
        <w:t>2. Discusión sobre la propuesta de cupos en tiempo real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Se reconoció que una plataforma actualizada en tiempo real con vacantes de hospitales e instituciones para casos de emergencia sería de alto valor. Sin embargo, su implementación exigiría capturar información de muchas organizaciones que probablemente utilizan procesos, criterios y sistemas distintos y que actualmente operan de manera descoordinada.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El equipo concluyó que levantar, normalizar y mantener esa información podría requerir meses de coordinación interinstitucional y probablemente intervención estatal. Como el grupo no cuenta con acceso directo a esos datos ni con autoridad para exigir su actualización, este componente no es viable dentro del Capstone y queda fuera del alcance del MVP.</w:t>
      </w:r>
    </w:p>
    <w:p>
      <w:pPr>
        <w:pStyle w:val="Heading1"/>
        <w:keepNext/>
      </w:pPr>
      <w:r>
        <w:t>3. Alcance acordado del proyecto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/>
          <w:b/>
          <w:i w:val="0"/>
          <w:color w:val="000000"/>
          <w:sz w:val="22"/>
        </w:rPr>
        <w:t>Título de trabajo del proyecto: Sistema de Análisis y Anticipación de Demanda de Urgencia en Salud Mental para la Región Metropolitana. El nombre propio de la plataforma quedó pendiente de definición.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La plataforma integrará dos fuentes oficiales del DEIS/MINSAL y recursos territoriales auxiliares. Su propósito será responder dónde y cuándo se concentra la presión sobre la red y qué territorios quedan peor cubiertos cuando esto ocurre.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2DC"/>
          <w:left w:val="single" w:sz="6" w:color="CBD2DC"/>
          <w:bottom w:val="single" w:sz="6" w:color="CBD2DC"/>
          <w:right w:val="single" w:sz="6" w:color="CBD2DC"/>
          <w:insideH w:val="single" w:sz="6" w:color="CBD2DC"/>
          <w:insideV w:val="single" w:sz="6" w:color="CBD2DC"/>
        </w:tblBorders>
      </w:tblPr>
      <w:tblGrid>
        <w:gridCol w:w="1700"/>
        <w:gridCol w:w="3200"/>
        <w:gridCol w:w="44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13A64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13A64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Insumo principal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13A64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1. Demanda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Atenciones de urgencia en salud mental por establecimiento y semana.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Proyección a 4–8 semanas con intervalos de predicción y backtesting contra baseline estacional ingenuo.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2. Accesibilidad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Establecimientos georreferenciados, red vial OSM, GTFS, población y vulnerabilidad.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Isócronas reales, cobertura por comuna y cruce de accesibilidad con demanda proyectada.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3. Hospitalización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Egresos hospitalarios individuales disociados con diagnósticos F00–F99.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FFF"/>
          </w:tcPr>
          <w:p>
            <w:pPr>
              <w:spacing w:before="0"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Análisis de determinantes de duración de estadía y diferencias por edad, previsión, SNSS y condición de egreso.</w:t>
            </w:r>
          </w:p>
        </w:tc>
      </w:tr>
    </w:tbl>
    <w:p>
      <w:pPr>
        <w:pStyle w:val="Heading1"/>
        <w:keepNext/>
      </w:pPr>
      <w:r>
        <w:t>4. Decisiones de alcance y límites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Territorio: Región Metropolitana.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Sector principal: red pública de urgencia, incluyendo SAPU, SAR y unidades de emergencia hospitalaria; los egresos se analizarán según la clasificación de pertenencia disponible.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Datos personales: no se utilizarán; las bases son agregadas o disociadas.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El cruce entre urgencias y egresos será ecológico, porque las bases no pueden unirse por establecimiento ni por persona.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La serie de urgencias de salud mental comienza en 2021, lo que limita las afirmaciones sobre estacionalidad.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Los tramos etarios de urgencia no permiten separar con precisión población infanto-adolescente y adulta.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La calidad y el posible subregistro por establecimiento deberán auditarse y documentarse antes de comparar territorios.</w:t>
      </w:r>
    </w:p>
    <w:p>
      <w:pPr>
        <w:pStyle w:val="Heading1"/>
        <w:keepNext/>
      </w:pPr>
      <w:r>
        <w:t>5. Público objetivo y redefinición del cliente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Se distinguió entre el público objetivo futuro de la solución y el cliente o mandante accesible para el Capstone. Los usuarios potenciales principales son gestores de red, equipos de planificación, referentes de salud mental, epidemiólogos de servicio y jefaturas de urgencia. No obstante, el cliente piloto debe ser una persona u organización que el equipo pueda entrevistar durante el semestre y que pueda validar requerimientos y utilidad.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El perfil prioritario será un profesional de salud mental, planificación o urgencia perteneciente a una municipalidad, corporación de salud, CESFAM, SAPU, SAR u hospital de la Región Metropolitana. Belén Guzmán continuará como experta de dominio y posible contacto para obtener una derivación, pero no se la presentará automáticamente como clienta principal si su práctica no requiere una herramienta metropolitana de planificación.</w:t>
      </w:r>
    </w:p>
    <w:p>
      <w:pPr>
        <w:pStyle w:val="Heading1"/>
        <w:keepNext/>
        <w:pageBreakBefore/>
      </w:pPr>
      <w:r>
        <w:t>6. Metodología y organización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Se acordó utilizar una metodología ágil e iterativa con las siguientes prácticas: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Tablero Kanban en GitHub Projects, asociado al repositorio del proyecto.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Backlog de tareas con responsable, prioridad, estado y criterio de aceptación.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Construcción incremental de datos, modelos y plataforma, con revisión periódica del alcance.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Bitácora de reuniones, decisiones y cambios de alcance.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000000"/>
          <w:sz w:val="21"/>
        </w:rPr>
        <w:t>División nominal de responsabilidades después de validar la definición con la profesora.</w:t>
      </w:r>
    </w:p>
    <w:p>
      <w:pPr>
        <w:pStyle w:val="Heading1"/>
        <w:keepNext/>
      </w:pPr>
      <w:r>
        <w:t>7. Riesgos y puntos por validar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2DC"/>
          <w:left w:val="single" w:sz="6" w:color="CBD2DC"/>
          <w:bottom w:val="single" w:sz="6" w:color="CBD2DC"/>
          <w:right w:val="single" w:sz="6" w:color="CBD2DC"/>
          <w:insideH w:val="single" w:sz="6" w:color="CBD2DC"/>
          <w:insideV w:val="single" w:sz="6" w:color="CBD2DC"/>
        </w:tblBorders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13A64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Punto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13A64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Validación requerida</w:t>
            </w:r>
          </w:p>
        </w:tc>
      </w:tr>
      <w:tr>
        <w:trPr>
          <w:cantSplit/>
        </w:trPr>
        <w:tc>
          <w:tcPr>
            <w:tcW w:type="dxa" w:w="23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213A64"/>
                <w:sz w:val="17"/>
              </w:rPr>
              <w:t>Resolución diagnóstica</w:t>
            </w:r>
          </w:p>
        </w:tc>
        <w:tc>
          <w:tcPr>
            <w:tcW w:type="dxa" w:w="70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Confirmar mediante conteos si la base de urgencias permite aislar las causas de salud mental con el detalle necesario para el modelo.</w:t>
            </w:r>
          </w:p>
        </w:tc>
      </w:tr>
      <w:tr>
        <w:trPr>
          <w:cantSplit/>
        </w:trPr>
        <w:tc>
          <w:tcPr>
            <w:tcW w:type="dxa" w:w="23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213A64"/>
                <w:sz w:val="17"/>
              </w:rPr>
              <w:t>Cliente piloto</w:t>
            </w:r>
          </w:p>
        </w:tc>
        <w:tc>
          <w:tcPr>
            <w:tcW w:type="dxa" w:w="70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Conseguir un representante accesible que realmente utilice información territorial o de planificación.</w:t>
            </w:r>
          </w:p>
        </w:tc>
      </w:tr>
      <w:tr>
        <w:trPr>
          <w:cantSplit/>
        </w:trPr>
        <w:tc>
          <w:tcPr>
            <w:tcW w:type="dxa" w:w="23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213A64"/>
                <w:sz w:val="17"/>
              </w:rPr>
              <w:t>Calidad de datos</w:t>
            </w:r>
          </w:p>
        </w:tc>
        <w:tc>
          <w:tcPr>
            <w:tcW w:type="dxa" w:w="70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Medir cobertura, valores faltantes, cambios de codificación y subregistro por establecimiento y periodo.</w:t>
            </w:r>
          </w:p>
        </w:tc>
      </w:tr>
      <w:tr>
        <w:trPr>
          <w:cantSplit/>
        </w:trPr>
        <w:tc>
          <w:tcPr>
            <w:tcW w:type="dxa" w:w="23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213A64"/>
                <w:sz w:val="17"/>
              </w:rPr>
              <w:t>Complejidad geoespacial</w:t>
            </w:r>
          </w:p>
        </w:tc>
        <w:tc>
          <w:tcPr>
            <w:tcW w:type="dxa" w:w="70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Priorizar un MVP reproducible de isócronas y cobertura; ajustar profundidad si GTFS o tiempos de cómputo exceden lo disponible.</w:t>
            </w:r>
          </w:p>
        </w:tc>
      </w:tr>
      <w:tr>
        <w:trPr>
          <w:cantSplit/>
        </w:trPr>
        <w:tc>
          <w:tcPr>
            <w:tcW w:type="dxa" w:w="235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213A64"/>
                <w:sz w:val="17"/>
              </w:rPr>
              <w:t>Alcance del módulo de egresos</w:t>
            </w:r>
          </w:p>
        </w:tc>
        <w:tc>
          <w:tcPr>
            <w:tcW w:type="dxa" w:w="7010"/>
            <w:tcMar>
              <w:top w:w="55" w:type="dxa"/>
              <w:start w:w="100" w:type="dxa"/>
              <w:bottom w:w="5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Justificar su valor para el cliente final y mantenerlo como componente analítico secundario si el cliente es municipal.</w:t>
            </w:r>
          </w:p>
        </w:tc>
      </w:tr>
    </w:tbl>
    <w:p>
      <w:pPr>
        <w:pStyle w:val="Heading1"/>
        <w:keepNext/>
      </w:pPr>
      <w:r>
        <w:t>8. Tareas pendientes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2DC"/>
          <w:left w:val="single" w:sz="6" w:color="CBD2DC"/>
          <w:bottom w:val="single" w:sz="6" w:color="CBD2DC"/>
          <w:right w:val="single" w:sz="6" w:color="CBD2DC"/>
          <w:insideH w:val="single" w:sz="6" w:color="CBD2DC"/>
          <w:insideV w:val="single" w:sz="6" w:color="CBD2DC"/>
        </w:tblBorders>
      </w:tblPr>
      <w:tblGrid>
        <w:gridCol w:w="520"/>
        <w:gridCol w:w="5360"/>
        <w:gridCol w:w="1500"/>
        <w:gridCol w:w="1980"/>
      </w:tblGrid>
      <w:tr>
        <w:trPr>
          <w:tblHeader w:val="true"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13A64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N°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13A64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Tarea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13A64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Responsable</w:t>
            </w:r>
          </w:p>
        </w:tc>
        <w:tc>
          <w:tcPr>
            <w:tcW w:type="dxa" w:w="1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13A64"/>
          </w:tcPr>
          <w:p>
            <w:pPr>
              <w:spacing w:before="0"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Plazo/condición</w:t>
            </w:r>
          </w:p>
        </w:tc>
      </w:tr>
      <w:tr>
        <w:trPr>
          <w:cantSplit/>
        </w:trPr>
        <w:tc>
          <w:tcPr>
            <w:tcW w:type="dxa" w:w="52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536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Validar con la profesora la definición, los componentes, el alcance y la pertinencia del cliente piloto.</w:t>
            </w:r>
          </w:p>
        </w:tc>
        <w:tc>
          <w:tcPr>
            <w:tcW w:type="dxa" w:w="150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Camila / equipo</w:t>
            </w:r>
          </w:p>
        </w:tc>
        <w:tc>
          <w:tcPr>
            <w:tcW w:type="dxa" w:w="198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Próxima instancia docente</w:t>
            </w:r>
          </w:p>
        </w:tc>
      </w:tr>
      <w:tr>
        <w:trPr>
          <w:cantSplit/>
        </w:trPr>
        <w:tc>
          <w:tcPr>
            <w:tcW w:type="dxa" w:w="52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536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Crear el tablero Kanban en GitHub Projects y asociarlo al repositorio.</w:t>
            </w:r>
          </w:p>
        </w:tc>
        <w:tc>
          <w:tcPr>
            <w:tcW w:type="dxa" w:w="150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Camila</w:t>
            </w:r>
          </w:p>
        </w:tc>
        <w:tc>
          <w:tcPr>
            <w:tcW w:type="dxa" w:w="198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52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536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Migrar los archivos de Google Drive a OneDrive y ordenar la documentación.</w:t>
            </w:r>
          </w:p>
        </w:tc>
        <w:tc>
          <w:tcPr>
            <w:tcW w:type="dxa" w:w="150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Camila / equipo</w:t>
            </w:r>
          </w:p>
        </w:tc>
        <w:tc>
          <w:tcPr>
            <w:tcW w:type="dxa" w:w="198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52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536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Contactar a Belén: comunicar el nuevo enfoque, redefinir su rol y solicitar un contacto del perfil priorizado.</w:t>
            </w:r>
          </w:p>
        </w:tc>
        <w:tc>
          <w:tcPr>
            <w:tcW w:type="dxa" w:w="150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Camila</w:t>
            </w:r>
          </w:p>
        </w:tc>
        <w:tc>
          <w:tcPr>
            <w:tcW w:type="dxa" w:w="198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</w:t>
            </w:r>
          </w:p>
        </w:tc>
      </w:tr>
      <w:tr>
        <w:trPr>
          <w:cantSplit/>
        </w:trPr>
        <w:tc>
          <w:tcPr>
            <w:tcW w:type="dxa" w:w="52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536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Confirmar un cliente piloto o usuario clave para entrevistas y validación.</w:t>
            </w:r>
          </w:p>
        </w:tc>
        <w:tc>
          <w:tcPr>
            <w:tcW w:type="dxa" w:w="150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Equipo</w:t>
            </w:r>
          </w:p>
        </w:tc>
        <w:tc>
          <w:tcPr>
            <w:tcW w:type="dxa" w:w="198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Tras el contacto inicial</w:t>
            </w:r>
          </w:p>
        </w:tc>
      </w:tr>
      <w:tr>
        <w:trPr>
          <w:cantSplit/>
        </w:trPr>
        <w:tc>
          <w:tcPr>
            <w:tcW w:type="dxa" w:w="52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536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Ejecutar conteos y perfilado inicial: resolución diagnóstica, cobertura temporal y calidad por establecimiento.</w:t>
            </w:r>
          </w:p>
        </w:tc>
        <w:tc>
          <w:tcPr>
            <w:tcW w:type="dxa" w:w="150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Equipo de datos</w:t>
            </w:r>
          </w:p>
        </w:tc>
        <w:tc>
          <w:tcPr>
            <w:tcW w:type="dxa" w:w="198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Antes de cerrar componente 1</w:t>
            </w:r>
          </w:p>
        </w:tc>
      </w:tr>
      <w:tr>
        <w:trPr>
          <w:cantSplit/>
        </w:trPr>
        <w:tc>
          <w:tcPr>
            <w:tcW w:type="dxa" w:w="52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7</w:t>
            </w:r>
          </w:p>
        </w:tc>
        <w:tc>
          <w:tcPr>
            <w:tcW w:type="dxa" w:w="536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Definir el nombre de la plataforma.</w:t>
            </w:r>
          </w:p>
        </w:tc>
        <w:tc>
          <w:tcPr>
            <w:tcW w:type="dxa" w:w="150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Equipo</w:t>
            </w:r>
          </w:p>
        </w:tc>
        <w:tc>
          <w:tcPr>
            <w:tcW w:type="dxa" w:w="198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Después de validar el alcance</w:t>
            </w:r>
          </w:p>
        </w:tc>
      </w:tr>
      <w:tr>
        <w:trPr>
          <w:cantSplit/>
        </w:trPr>
        <w:tc>
          <w:tcPr>
            <w:tcW w:type="dxa" w:w="52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8</w:t>
            </w:r>
          </w:p>
        </w:tc>
        <w:tc>
          <w:tcPr>
            <w:tcW w:type="dxa" w:w="536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Dividir responsabilidades técnicas y documentales entre integrantes.</w:t>
            </w:r>
          </w:p>
        </w:tc>
        <w:tc>
          <w:tcPr>
            <w:tcW w:type="dxa" w:w="150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Equipo</w:t>
            </w:r>
          </w:p>
        </w:tc>
        <w:tc>
          <w:tcPr>
            <w:tcW w:type="dxa" w:w="1980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Después de la validación con la profesora</w:t>
            </w:r>
          </w:p>
        </w:tc>
      </w:tr>
    </w:tbl>
    <w:p>
      <w:pPr>
        <w:pStyle w:val="Heading1"/>
        <w:keepNext/>
      </w:pPr>
      <w:r>
        <w:t>9. Cierre de la reunión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/>
          <w:b w:val="0"/>
          <w:i w:val="0"/>
          <w:color w:val="000000"/>
          <w:sz w:val="22"/>
        </w:rPr>
        <w:t>El equipo cerró con una definición preliminar coherente con los datos y la escala del Capstone. El alcance será definitivo una vez revisado con la profesora; después se distribuirán formalmente las tareas y se cerrará el perfil del cliente piloto.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b w:val="0"/>
        <w:i w:val="0"/>
        <w:color w:val="666666"/>
        <w:sz w:val="17"/>
      </w:rPr>
      <w:t>Capstone · Ingeniería en Informática · Duoc UC Antonio Varas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666666"/>
        <w:sz w:val="17"/>
      </w:rPr>
      <w:t>BITÁCORA DE REUNIÓN | FASE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13A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13A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 reunión - Definición y alcance del proyecto Capstone</dc:title>
  <dc:subject>Acuerdos, alcance, metodología y tareas pendientes</dc:subject>
  <dc:creator>Camila Aroca y equipo Capstone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