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0"/>
      </w:pPr>
      <w:r>
        <w:drawing>
          <wp:inline xmlns:a="http://schemas.openxmlformats.org/drawingml/2006/main" xmlns:pic="http://schemas.openxmlformats.org/drawingml/2006/picture">
            <wp:extent cx="2232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d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91"/>
            <w:shd w:val="clear" w:color="auto" w:fill="0B4660"/>
          </w:tcPr>
          <w:p>
            <w:pPr>
              <w:spacing w:before="520" w:after="80"/>
              <w:ind w:left="340"/>
            </w:pPr>
            <w:r>
              <w:rPr>
                <w:rFonts w:ascii="Inter" w:hAnsi="Inter" w:cs="Inter" w:eastAsia="Inter"/>
                <w:b/>
                <w:color w:val="EBA845"/>
                <w:sz w:val="18"/>
              </w:rPr>
              <w:t>ARQUITECTURA OBJETIVO</w:t>
            </w:r>
          </w:p>
          <w:p>
            <w:pPr>
              <w:spacing w:after="160" w:line="240" w:lineRule="auto"/>
              <w:ind w:left="340" w:right="340"/>
            </w:pPr>
            <w:r>
              <w:rPr>
                <w:rFonts w:ascii="Plus Jakarta Sans" w:hAnsi="Plus Jakarta Sans" w:cs="Plus Jakarta Sans" w:eastAsia="Plus Jakarta Sans"/>
                <w:b/>
                <w:color w:val="FFFFFF"/>
                <w:sz w:val="56"/>
              </w:rPr>
              <w:t>Arquitectura to-be: despliegue en AWS</w:t>
            </w:r>
          </w:p>
          <w:p>
            <w:pPr>
              <w:spacing w:after="520"/>
              <w:ind w:left="340" w:right="340"/>
            </w:pPr>
            <w:r>
              <w:rPr>
                <w:rFonts w:ascii="Inter" w:hAnsi="Inter" w:cs="Inter" w:eastAsia="Inter"/>
                <w:color w:val="E3F0F8"/>
                <w:sz w:val="23"/>
              </w:rPr>
              <w:t>SAAD — Sistema de Análisis y Anticipación de Demanda de Urgencia en Salud Mental para la Región Metropolitana</w:t>
            </w:r>
          </w:p>
        </w:tc>
      </w:tr>
    </w:tbl>
    <w:p>
      <w:pPr>
        <w:spacing w:after="360"/>
        <w:pBdr>
          <w:bottom w:val="single" w:sz="24" w:space="4" w:color="EBA845"/>
        </w:pBdr>
      </w:pPr>
    </w:p>
    <w:p>
      <w:pPr>
        <w:spacing w:after="280"/>
      </w:pPr>
      <w:r>
        <w:rPr>
          <w:color w:val="5E7685"/>
          <w:sz w:val="20"/>
        </w:rPr>
        <w:t>Capstone APT · Ingeniería en Informática · Duoc UC Antonio Varas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200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Código del documento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ATB-SAAD-2026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Versión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Fecha de emisión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12 de octubre de 2026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Estado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Propuesta para revisión de la docente y del equipo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Clasificación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Uso académico e interno del equipo de proyecto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Tareas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D2-16 Modificar o justificar la arquitectura (#83) · D2-21 Diagrama UML de despliegue (#88)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Elaborado por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Equipo SAAD — Camila A., Felipe R., Cristopher R., Catalina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Documento relacionado</w:t>
            </w:r>
          </w:p>
        </w:tc>
        <w:tc>
          <w:tcPr>
            <w:tcW w:type="dxa" w:w="7200"/>
            <w:shd w:val="clear" w:color="auto" w:fill="EEF3F6"/>
          </w:tcPr>
          <w:p>
            <w:pPr>
              <w:spacing w:before="40" w:after="40"/>
            </w:pPr>
            <w:r>
              <w:rPr>
                <w:sz w:val="20"/>
              </w:rPr>
              <w:t>Documento de Arquitectura de Software (DAS-SAAD-2026), as-is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Repositorio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docs/08-arquitectura/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47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04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Autor(es)</w:t>
            </w:r>
          </w:p>
        </w:tc>
        <w:tc>
          <w:tcPr>
            <w:tcW w:type="dxa" w:w="5386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Descripción del cambio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9"/>
              </w:rPr>
              <w:t>12-10-2026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Equipo SAAD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Primera versión: arquitectura objetivo en AWS, diagrama UML de despliegue, estimación de costos, justificación del proveedor, de no usar varias nubes y de las tecnologías, decisiones, relación con la demo y riesgos.</w:t>
            </w:r>
          </w:p>
        </w:tc>
      </w:tr>
    </w:tbl>
    <w:p>
      <w:pPr>
        <w:spacing w:after="80"/>
      </w:pPr>
    </w:p>
    <w:p>
      <w:pPr>
        <w:pStyle w:val="Heading1"/>
        <w:spacing w:before="0"/>
      </w:pPr>
      <w:r>
        <w:t>Tabla de contenidos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rPr>
          <w:i/>
          <w:color w:val="5E7685"/>
          <w:sz w:val="17"/>
        </w:rPr>
        <w:t>Si el índice no se muestra actualizado, seleccionarlo y presionar F9 en Microsoft Word.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pPr>
        <w:jc w:val="both"/>
      </w:pPr>
      <w:r>
        <w:rPr>
          <w:sz w:val="21"/>
        </w:rPr>
        <w:t xml:space="preserve">Este documento describe </w:t>
      </w:r>
      <w:r>
        <w:rPr>
          <w:b/>
          <w:sz w:val="21"/>
        </w:rPr>
        <w:t>cómo se desplegaría el SAAD en la nube</w:t>
      </w:r>
      <w:r>
        <w:rPr>
          <w:sz w:val="21"/>
        </w:rPr>
        <w:t xml:space="preserve"> (arquitectura to-be). La arquitectura vigente (as-is) está en el Documento de Arquitectura de Software (DAS-SAAD-2026) y no se repite aquí. El despliegue descrito está </w:t>
      </w:r>
      <w:r>
        <w:rPr>
          <w:b/>
          <w:sz w:val="21"/>
        </w:rPr>
        <w:t>diseñado y presupuestado, pero no implementado</w:t>
      </w:r>
      <w:r>
        <w:rPr>
          <w:sz w:val="21"/>
        </w:rPr>
        <w:t>: no se han creado recursos en AWS.</w:t>
      </w:r>
    </w:p>
    <w:p>
      <w:pPr>
        <w:jc w:val="both"/>
      </w:pPr>
      <w:r>
        <w:rPr>
          <w:sz w:val="21"/>
        </w:rPr>
        <w:t>Responde a la revisión de la arquitectura (D2-16), que pidió:</w:t>
      </w:r>
    </w:p>
    <w:p>
      <w:pPr>
        <w:pStyle w:val="ListBullet"/>
        <w:spacing w:after="60"/>
      </w:pPr>
      <w:r>
        <w:rPr>
          <w:sz w:val="21"/>
        </w:rPr>
        <w:t>una estimación de precios (sección 4);</w:t>
      </w:r>
    </w:p>
    <w:p>
      <w:pPr>
        <w:pStyle w:val="ListBullet"/>
        <w:spacing w:after="60"/>
      </w:pPr>
      <w:r>
        <w:rPr>
          <w:sz w:val="21"/>
        </w:rPr>
        <w:t>justificar por qué AWS y no otra nube (sección 5);</w:t>
      </w:r>
    </w:p>
    <w:p>
      <w:pPr>
        <w:pStyle w:val="ListBullet"/>
        <w:spacing w:after="60"/>
      </w:pPr>
      <w:r>
        <w:rPr>
          <w:sz w:val="21"/>
        </w:rPr>
        <w:t>justificar por qué no se usan varias nubes (sección 6);</w:t>
      </w:r>
    </w:p>
    <w:p>
      <w:pPr>
        <w:pStyle w:val="ListBullet"/>
        <w:spacing w:after="60"/>
      </w:pPr>
      <w:r>
        <w:rPr>
          <w:sz w:val="21"/>
        </w:rPr>
        <w:t>justificar por qué se eligieron las tecnologías (sección 7 y DAS, sección 10.1).</w:t>
      </w:r>
    </w:p>
    <w:p>
      <w:pPr>
        <w:jc w:val="both"/>
      </w:pPr>
      <w:r>
        <w:rPr>
          <w:sz w:val="21"/>
        </w:rPr>
        <w:t>Incluye además el diagrama UML de despliegue que pide D2-21 (sección 3).</w:t>
      </w:r>
    </w:p>
    <w:p>
      <w:pPr>
        <w:pStyle w:val="Heading1"/>
      </w:pPr>
      <w:r>
        <w:t>2. Del as-is al to-be</w:t>
      </w:r>
    </w:p>
    <w:p>
      <w:pPr>
        <w:jc w:val="both"/>
      </w:pPr>
      <w:r>
        <w:rPr>
          <w:b/>
          <w:sz w:val="21"/>
        </w:rPr>
        <w:t>El estilo arquitectónico se mantiene</w:t>
      </w:r>
      <w:r>
        <w:rPr>
          <w:sz w:val="21"/>
        </w:rPr>
        <w:t>: pipeline por lotes, API REST de solo lectura que responde desde memoria y aplicación web separada (DAS, secciones 3.1 y 3.2). Lo que cambia es dónde se ejecuta cada parte. Esa separación es justamente la que permite llevarla a la nube sin rehacer el código: la API y la aplicación ya son procesos independientes que solo se comunican por HTTP.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742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As-is (repositorio)</w:t>
            </w:r>
          </w:p>
        </w:tc>
        <w:tc>
          <w:tcPr>
            <w:tcW w:type="dxa" w:w="447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To-be (AWS)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sz w:val="18"/>
              </w:rPr>
              <w:t>Ejecución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8"/>
              </w:rPr>
              <w:t>Docker Compose en el equipo de un integrante.</w:t>
            </w:r>
          </w:p>
        </w:tc>
        <w:tc>
          <w:tcPr>
            <w:tcW w:type="dxa" w:w="4479"/>
          </w:tcPr>
          <w:p>
            <w:pPr>
              <w:spacing w:before="40" w:after="40"/>
            </w:pPr>
            <w:r>
              <w:rPr>
                <w:sz w:val="18"/>
              </w:rPr>
              <w:t>Servicios gestionados de AWS en us-east-1.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Aplicación web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 xml:space="preserve">Contenedor nginx que sirve el build y reenvía </w:t>
            </w:r>
            <w:r>
              <w:rPr>
                <w:rFonts w:ascii="Consolas" w:hAnsi="Consolas"/>
                <w:sz w:val="18"/>
              </w:rPr>
              <w:t>/api</w:t>
            </w:r>
            <w:r>
              <w:rPr>
                <w:sz w:val="18"/>
              </w:rPr>
              <w:t>.</w:t>
            </w:r>
          </w:p>
        </w:tc>
        <w:tc>
          <w:tcPr>
            <w:tcW w:type="dxa" w:w="447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 xml:space="preserve">Build en S3, servido por CloudFront, que también reenvía </w:t>
            </w:r>
            <w:r>
              <w:rPr>
                <w:rFonts w:ascii="Consolas" w:hAnsi="Consolas"/>
                <w:sz w:val="18"/>
              </w:rPr>
              <w:t>/api/*</w:t>
            </w:r>
            <w:r>
              <w:rPr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8"/>
              </w:rPr>
              <w:t xml:space="preserve">Contenedor </w:t>
            </w:r>
            <w:r>
              <w:rPr>
                <w:rFonts w:ascii="Consolas" w:hAnsi="Consolas"/>
                <w:sz w:val="18"/>
              </w:rPr>
              <w:t>saad-api</w:t>
            </w:r>
            <w:r>
              <w:rPr>
                <w:sz w:val="18"/>
              </w:rPr>
              <w:t xml:space="preserve"> en el equipo.</w:t>
            </w:r>
          </w:p>
        </w:tc>
        <w:tc>
          <w:tcPr>
            <w:tcW w:type="dxa" w:w="4479"/>
          </w:tcPr>
          <w:p>
            <w:pPr>
              <w:spacing w:before="40" w:after="40"/>
            </w:pPr>
            <w:r>
              <w:rPr>
                <w:sz w:val="18"/>
              </w:rPr>
              <w:t>La misma imagen en ECS con Fargate, detrás de un balanceador.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Datos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 xml:space="preserve">Volumen local </w:t>
            </w:r>
            <w:r>
              <w:rPr>
                <w:rFonts w:ascii="Consolas" w:hAnsi="Consolas"/>
                <w:sz w:val="18"/>
              </w:rPr>
              <w:t>data/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8"/>
              </w:rPr>
              <w:t>reports/</w:t>
            </w:r>
            <w:r>
              <w:rPr>
                <w:sz w:val="18"/>
              </w:rPr>
              <w:t>.</w:t>
            </w:r>
          </w:p>
        </w:tc>
        <w:tc>
          <w:tcPr>
            <w:tcW w:type="dxa" w:w="447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Un bucket S3 con RAW, manifest, outputs y reportes.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sz w:val="18"/>
              </w:rPr>
              <w:t>Pipeline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8"/>
              </w:rPr>
              <w:t>Contenedor bajo demanda en el equipo.</w:t>
            </w:r>
          </w:p>
        </w:tc>
        <w:tc>
          <w:tcPr>
            <w:tcW w:type="dxa" w:w="4479"/>
          </w:tcPr>
          <w:p>
            <w:pPr>
              <w:spacing w:before="40" w:after="40"/>
            </w:pPr>
            <w:r>
              <w:rPr>
                <w:sz w:val="18"/>
              </w:rPr>
              <w:t>Tarea programada semanal en Fargate; la reconstrucción completa y el benchmark siguen en el equipo.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Base relacional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Diseñada, no usada (ADR-02).</w:t>
            </w:r>
          </w:p>
        </w:tc>
        <w:tc>
          <w:tcPr>
            <w:tcW w:type="dxa" w:w="447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Aurora Serverless v2, opcional, cuando la API la use.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sz w:val="18"/>
              </w:rPr>
              <w:t>HTTPS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8"/>
              </w:rPr>
              <w:t>No (HTTP local).</w:t>
            </w:r>
          </w:p>
        </w:tc>
        <w:tc>
          <w:tcPr>
            <w:tcW w:type="dxa" w:w="4479"/>
          </w:tcPr>
          <w:p>
            <w:pPr>
              <w:spacing w:before="40" w:after="40"/>
            </w:pPr>
            <w:r>
              <w:rPr>
                <w:sz w:val="18"/>
              </w:rPr>
              <w:t>CloudFront y balanceador con certificados de ACM.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8"/>
              </w:rPr>
              <w:t>Acceso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Solo desde el equipo.</w:t>
            </w:r>
          </w:p>
        </w:tc>
        <w:tc>
          <w:tcPr>
            <w:tcW w:type="dxa" w:w="4479"/>
            <w:shd w:val="clear" w:color="auto" w:fill="EEF3F6"/>
          </w:tcPr>
          <w:p>
            <w:pPr>
              <w:spacing w:before="40" w:after="40"/>
            </w:pPr>
            <w:r>
              <w:rPr>
                <w:sz w:val="18"/>
              </w:rPr>
              <w:t>URL pública para usuarios fuera del equipo.</w:t>
            </w:r>
          </w:p>
        </w:tc>
      </w:tr>
    </w:tbl>
    <w:p>
      <w:pPr>
        <w:spacing w:after="80"/>
      </w:pPr>
    </w:p>
    <w:p>
      <w:pPr>
        <w:pStyle w:val="Heading1"/>
      </w:pPr>
      <w:r>
        <w:t>3. Diagrama de despliegue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23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_to_be_a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5E7685"/>
          <w:sz w:val="18"/>
        </w:rPr>
        <w:t>Figura 1.</w:t>
      </w:r>
      <w:r>
        <w:rPr>
          <w:color w:val="5E7685"/>
          <w:sz w:val="18"/>
        </w:rPr>
        <w:t xml:space="preserve"> Diagrama de despliegue to-be en AWS (D2-21). Fuente editable en draw.io: </w:t>
      </w:r>
      <w:r>
        <w:rPr>
          <w:rFonts w:ascii="Consolas" w:hAnsi="Consolas"/>
          <w:color w:val="5E7685"/>
          <w:sz w:val="17"/>
        </w:rPr>
        <w:t>docs/07-diagramas/despliegue_to_be_aws.drawio</w:t>
      </w:r>
      <w:r>
        <w:rPr>
          <w:color w:val="5E7685"/>
          <w:sz w:val="18"/>
        </w:rPr>
        <w:t>.</w:t>
      </w:r>
    </w:p>
    <w:p>
      <w:pPr>
        <w:pStyle w:val="Heading2"/>
      </w:pPr>
      <w:r>
        <w:t>3.1 Nodos y componentes desplegados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221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Nodo</w:t>
            </w:r>
          </w:p>
        </w:tc>
        <w:tc>
          <w:tcPr>
            <w:tcW w:type="dxa" w:w="368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Qué despliega o guarda</w:t>
            </w:r>
          </w:p>
        </w:tc>
        <w:tc>
          <w:tcPr>
            <w:tcW w:type="dxa" w:w="413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Por qué así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CloudFront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7"/>
              </w:rPr>
              <w:t xml:space="preserve">Punto de entrada HTTPS: </w:t>
            </w:r>
            <w:r>
              <w:rPr>
                <w:rFonts w:ascii="Consolas" w:hAnsi="Consolas"/>
                <w:sz w:val="17"/>
              </w:rPr>
              <w:t>/*</w:t>
            </w:r>
            <w:r>
              <w:rPr>
                <w:sz w:val="17"/>
              </w:rPr>
              <w:t xml:space="preserve"> al sitio y </w:t>
            </w:r>
            <w:r>
              <w:rPr>
                <w:rFonts w:ascii="Consolas" w:hAnsi="Consolas"/>
                <w:sz w:val="17"/>
              </w:rPr>
              <w:t>/api/*</w:t>
            </w:r>
            <w:r>
              <w:rPr>
                <w:sz w:val="17"/>
              </w:rPr>
              <w:t xml:space="preserve"> al balanceador.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>
              <w:rPr>
                <w:sz w:val="17"/>
              </w:rPr>
              <w:t>Conserva el origen único del as-is (sin CORS) y entrega certificados con ACM.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S3 · sitio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Build de Vite (</w:t>
            </w:r>
            <w:r>
              <w:rPr>
                <w:rFonts w:ascii="Consolas" w:hAnsi="Consolas"/>
                <w:sz w:val="17"/>
              </w:rPr>
              <w:t>frontend/dist</w:t>
            </w:r>
            <w:r>
              <w:rPr>
                <w:sz w:val="17"/>
              </w:rPr>
              <w:t>).</w:t>
            </w:r>
          </w:p>
        </w:tc>
        <w:tc>
          <w:tcPr>
            <w:tcW w:type="dxa" w:w="413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Archivos estáticos: no necesitan un contenedor encendido. Privado, solo lo lee CloudFront.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Load Balancer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7"/>
              </w:rPr>
              <w:t xml:space="preserve">Reenvía </w:t>
            </w:r>
            <w:r>
              <w:rPr>
                <w:rFonts w:ascii="Consolas" w:hAnsi="Consolas"/>
                <w:sz w:val="17"/>
              </w:rPr>
              <w:t>/api/*</w:t>
            </w:r>
            <w:r>
              <w:rPr>
                <w:sz w:val="17"/>
              </w:rPr>
              <w:t xml:space="preserve"> a la tarea de la API.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>
              <w:rPr>
                <w:sz w:val="17"/>
              </w:rPr>
              <w:t>Da una dirección estable a la tarea de Fargate, cuya IP cambia en cada reinicio.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ECS con AWS Fargate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Una tarea con el contenedor </w:t>
            </w:r>
            <w:r>
              <w:rPr>
                <w:rFonts w:ascii="Consolas" w:hAnsi="Consolas"/>
                <w:sz w:val="17"/>
              </w:rPr>
              <w:t>saad-api</w:t>
            </w:r>
            <w:r>
              <w:rPr>
                <w:sz w:val="17"/>
              </w:rPr>
              <w:t xml:space="preserve"> (0,5 vCPU, 2 GB).</w:t>
            </w:r>
          </w:p>
        </w:tc>
        <w:tc>
          <w:tcPr>
            <w:tcW w:type="dxa" w:w="413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Contenedor siempre encendido sin servidor que administrar. 2 GB dejan margen sobre los ~460 MB observados en ejecución.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S3 · datos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7"/>
              </w:rPr>
              <w:t>RAW y manifest (~12 GB), outputs (</w:t>
            </w:r>
            <w:r>
              <w:rPr>
                <w:rFonts w:ascii="Consolas" w:hAnsi="Consolas"/>
                <w:sz w:val="17"/>
              </w:rPr>
              <w:t>data/processed/</w:t>
            </w:r>
            <w:r>
              <w:rPr>
                <w:sz w:val="17"/>
              </w:rPr>
              <w:t xml:space="preserve">) y </w:t>
            </w:r>
            <w:r>
              <w:rPr>
                <w:rFonts w:ascii="Consolas" w:hAnsi="Consolas"/>
                <w:sz w:val="17"/>
              </w:rPr>
              <w:t>reports/</w:t>
            </w:r>
            <w:r>
              <w:rPr>
                <w:sz w:val="17"/>
              </w:rPr>
              <w:t>.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>
              <w:rPr>
                <w:sz w:val="17"/>
              </w:rPr>
              <w:t>Un solo bucket con prefijos: la tarea pipeline lo lee y escribe; la API lee los outputs al arrancar.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ECS con Fargate · tarea pipeline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Tarea programada con la misma imagen </w:t>
            </w:r>
            <w:r>
              <w:rPr>
                <w:rFonts w:ascii="Consolas" w:hAnsi="Consolas"/>
                <w:sz w:val="17"/>
              </w:rPr>
              <w:t>saad-api</w:t>
            </w:r>
            <w:r>
              <w:rPr>
                <w:sz w:val="17"/>
              </w:rPr>
              <w:t xml:space="preserve"> (4 vCPU, 16 GB).</w:t>
            </w:r>
          </w:p>
        </w:tc>
        <w:tc>
          <w:tcPr>
            <w:tcW w:type="dxa" w:w="413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Cómputo solo durante la ejecución semanal (~1 h); sin máquina encendida el resto del tiempo.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EventBridge Scheduler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7"/>
              </w:rPr>
              <w:t>Disparo semanal de la tarea pipeline.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>
              <w:rPr>
                <w:sz w:val="17"/>
              </w:rPr>
              <w:t>Programación gestionada, sin un servidor con cron.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ECR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Imágenes versionadas de </w:t>
            </w:r>
            <w:r>
              <w:rPr>
                <w:rFonts w:ascii="Consolas" w:hAnsi="Consolas"/>
                <w:sz w:val="17"/>
              </w:rPr>
              <w:t>saad-api</w:t>
            </w:r>
            <w:r>
              <w:rPr>
                <w:sz w:val="17"/>
              </w:rPr>
              <w:t>.</w:t>
            </w:r>
          </w:p>
        </w:tc>
        <w:tc>
          <w:tcPr>
            <w:tcW w:type="dxa" w:w="413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Registro privado del que Fargate descarga.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CloudWatch Logs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7"/>
              </w:rPr>
              <w:t>Registros de la API.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>
              <w:rPr>
                <w:sz w:val="17"/>
              </w:rPr>
              <w:t>Diagnóstico sin acceder a un servidor.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Aurora Serverless v2 (opcional)</w:t>
            </w:r>
          </w:p>
        </w:tc>
        <w:tc>
          <w:tcPr>
            <w:tcW w:type="dxa" w:w="368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PostgreSQL con PostGIS (RT-03).</w:t>
            </w:r>
          </w:p>
        </w:tc>
        <w:tc>
          <w:tcPr>
            <w:tcW w:type="dxa" w:w="4139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Se agrega cuando la API consulte una base (ADR-02). Se pausa sola cuando no se usa.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Equipo del proyecto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7"/>
              </w:rPr>
              <w:t>Reconstrucción completa del pipeline y benchmark del modelo.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>
              <w:rPr>
                <w:sz w:val="17"/>
              </w:rPr>
              <w:t>Son ejecuciones largas y ocasionales (solo cuando cambia el modelo); no justifican cómputo en la nube.</w:t>
            </w:r>
          </w:p>
        </w:tc>
      </w:tr>
    </w:tbl>
    <w:p>
      <w:pPr>
        <w:spacing w:after="80"/>
      </w:pPr>
    </w:p>
    <w:p>
      <w:pPr>
        <w:pStyle w:val="Heading2"/>
      </w:pPr>
      <w:r>
        <w:t>3.2 Red y publicación</w:t>
      </w:r>
    </w:p>
    <w:p>
      <w:pPr>
        <w:pStyle w:val="ListBullet"/>
        <w:spacing w:after="60"/>
      </w:pPr>
      <w:r>
        <w:rPr>
          <w:sz w:val="21"/>
        </w:rPr>
        <w:t>La tarea corre en subredes públicas con IP propia para descargar su imagen y sus datos. En subredes privadas exigiría un NAT Gateway, que por sí solo costaría más que la tarea. Su grupo de seguridad solo admite tráfico desde el balanceador.</w:t>
      </w:r>
    </w:p>
    <w:p>
      <w:pPr>
        <w:pStyle w:val="ListBullet"/>
        <w:spacing w:after="60"/>
      </w:pPr>
      <w:r>
        <w:rPr>
          <w:sz w:val="21"/>
        </w:rPr>
        <w:t>El equipo publica la imagen (</w:t>
      </w:r>
      <w:r>
        <w:rPr>
          <w:rFonts w:ascii="Consolas" w:hAnsi="Consolas"/>
          <w:sz w:val="20"/>
        </w:rPr>
        <w:t>docker push</w:t>
      </w:r>
      <w:r>
        <w:rPr>
          <w:sz w:val="21"/>
        </w:rPr>
        <w:t xml:space="preserve"> a ECR) y el build de la aplicación (</w:t>
      </w:r>
      <w:r>
        <w:rPr>
          <w:rFonts w:ascii="Consolas" w:hAnsi="Consolas"/>
          <w:sz w:val="20"/>
        </w:rPr>
        <w:t>aws s3 sync</w:t>
      </w:r>
      <w:r>
        <w:rPr>
          <w:sz w:val="21"/>
        </w:rPr>
        <w:t>). Los datos los publica la tarea pipeline (sección 3.3).</w:t>
      </w:r>
    </w:p>
    <w:p>
      <w:pPr>
        <w:pStyle w:val="Heading2"/>
      </w:pPr>
      <w:r>
        <w:t>3.3 Actualización de datos</w:t>
      </w:r>
    </w:p>
    <w:p>
      <w:pPr>
        <w:jc w:val="both"/>
      </w:pPr>
      <w:r>
        <w:rPr>
          <w:sz w:val="21"/>
        </w:rPr>
        <w:t>Las fuentes no cambian al mismo ritmo, y el pipeline solo necesita seguir a la que cambia seguido: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249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Frecuencia observada</w:t>
            </w:r>
          </w:p>
        </w:tc>
        <w:tc>
          <w:tcPr>
            <w:tcW w:type="dxa" w:w="5046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7"/>
              </w:rPr>
              <w:t>Urgencias DEIS, año en curso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Varias veces por semana, ~1 día de desfase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>
              <w:rPr>
                <w:sz w:val="17"/>
              </w:rPr>
              <w:t>Dos snapshots de 2026 con hash distinto (3 y 7 de octubre); la descarga del 7 traía datos hasta el 6. Inferido, no es un calendario oficial.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Urgencias DEIS, años cerrados</w:t>
            </w:r>
          </w:p>
        </w:tc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No cambian</w:t>
            </w:r>
          </w:p>
        </w:tc>
        <w:tc>
          <w:tcPr>
            <w:tcW w:type="dxa" w:w="5046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Hash estable en el manifest.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7"/>
              </w:rPr>
              <w:t>Egresos DEIS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Anual, con meses de rezago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>
              <w:rPr>
                <w:sz w:val="17"/>
              </w:rPr>
              <w:t>Un archivo por año (2020-2025).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Catálogo de establecimientos</w:t>
            </w:r>
          </w:p>
        </w:tc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Irregular</w:t>
            </w:r>
          </w:p>
        </w:tc>
        <w:tc>
          <w:tcPr>
            <w:tcW w:type="dxa" w:w="5046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El archivo vigente es del 25-08-2026.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7"/>
              </w:rPr>
              <w:t>Censo, proyecciones INE, Casen, Estadísticas de Género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Fijas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>
              <w:rPr>
                <w:sz w:val="17"/>
              </w:rPr>
              <w:t>Años o ediciones cerrados.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sz w:val="21"/>
        </w:rPr>
        <w:t>Cuándo:</w:t>
      </w:r>
      <w:r>
        <w:rPr>
          <w:sz w:val="21"/>
        </w:rPr>
        <w:t xml:space="preserve"> EventBridge Scheduler dispara la tarea pipeline una vez por semana, el lunes. La semana DEIS va de domingo a sábado, así que el lunes ya cerró y pasó el día de desfase. Coincide con el modelo, que pronostica por semana.</w:t>
      </w:r>
    </w:p>
    <w:p>
      <w:pPr>
        <w:pStyle w:val="ListBullet"/>
        <w:spacing w:after="60"/>
      </w:pPr>
      <w:r>
        <w:rPr>
          <w:b/>
          <w:sz w:val="21"/>
        </w:rPr>
        <w:t>Qué corre:</w:t>
      </w:r>
      <w:r>
        <w:rPr>
          <w:sz w:val="21"/>
        </w:rPr>
        <w:t xml:space="preserve"> baja de S3 el RAW y el manifest, ejecuta </w:t>
      </w:r>
      <w:r>
        <w:rPr>
          <w:rFonts w:ascii="Consolas" w:hAnsi="Consolas"/>
          <w:sz w:val="20"/>
        </w:rPr>
        <w:t>run_pipeline.py --refresh-current-urgencias</w:t>
      </w:r>
      <w:r>
        <w:rPr>
          <w:sz w:val="21"/>
        </w:rPr>
        <w:t xml:space="preserve"> (solo vuelve a consultar el año en curso y regenera lo afectado), regenera el pronóstico y sube los resultados a S3. Así el pronóstico publicado siempre está vigente (R-02).</w:t>
      </w:r>
    </w:p>
    <w:p>
      <w:pPr>
        <w:pStyle w:val="ListBullet"/>
        <w:spacing w:after="60"/>
      </w:pPr>
      <w:r>
        <w:rPr>
          <w:b/>
          <w:sz w:val="21"/>
        </w:rPr>
        <w:t>Cómo lo toma la API:</w:t>
      </w:r>
      <w:r>
        <w:rPr>
          <w:sz w:val="21"/>
        </w:rPr>
        <w:t xml:space="preserve"> la API lee los datos solo al arrancar (ADR-06 del DAS), por lo que la tarea termina forzando un nuevo despliegue del servicio </w:t>
      </w:r>
      <w:r>
        <w:rPr>
          <w:rFonts w:ascii="Consolas" w:hAnsi="Consolas"/>
          <w:sz w:val="20"/>
        </w:rPr>
        <w:t>saad-api</w:t>
      </w:r>
      <w:r>
        <w:rPr>
          <w:sz w:val="21"/>
        </w:rPr>
        <w:t xml:space="preserve"> (R-10).</w:t>
      </w:r>
    </w:p>
    <w:p>
      <w:pPr>
        <w:pStyle w:val="ListBullet"/>
        <w:spacing w:after="60"/>
      </w:pPr>
      <w:r>
        <w:rPr>
          <w:b/>
          <w:sz w:val="21"/>
        </w:rPr>
        <w:t>Qué queda en el equipo:</w:t>
      </w:r>
      <w:r>
        <w:rPr>
          <w:sz w:val="21"/>
        </w:rPr>
        <w:t xml:space="preserve"> la reconstrucción completa y el benchmark del modelo, que se lanzan a mano cuando cambia el modelo.</w:t>
      </w:r>
    </w:p>
    <w:p>
      <w:pPr>
        <w:pStyle w:val="ListBullet"/>
        <w:spacing w:after="60"/>
      </w:pPr>
      <w:r>
        <w:rPr>
          <w:b/>
          <w:sz w:val="21"/>
        </w:rPr>
        <w:t>Alternativas descartadas:</w:t>
      </w:r>
      <w:r>
        <w:rPr>
          <w:sz w:val="21"/>
        </w:rPr>
        <w:t xml:space="preserve"> Lambda (límite de 15 minutos y 10 GB de disco), GitHub Actions (runners gratuitos con ~14 GB de disco, justo para el RAW) y seguir solo en el equipo (depende de que alguien lo ejecute cada semana).</w:t>
      </w:r>
    </w:p>
    <w:p>
      <w:pPr>
        <w:pStyle w:val="Heading2"/>
      </w:pPr>
      <w:r>
        <w:t>3.4 Contenedores</w:t>
      </w:r>
    </w:p>
    <w:p>
      <w:pPr>
        <w:jc w:val="both"/>
      </w:pPr>
      <w:r>
        <w:rPr>
          <w:sz w:val="21"/>
        </w:rPr>
        <w:t xml:space="preserve">El to-be no crea imágenes nuevas: despliega las que ya construye el repositorio. La figura 2 muestra esos contenedores tal como corren hoy con Docker Compose. En AWS, </w:t>
      </w:r>
      <w:r>
        <w:rPr>
          <w:rFonts w:ascii="Consolas" w:hAnsi="Consolas"/>
          <w:sz w:val="20"/>
        </w:rPr>
        <w:t>saad-api</w:t>
      </w:r>
      <w:r>
        <w:rPr>
          <w:sz w:val="21"/>
        </w:rPr>
        <w:t xml:space="preserve"> pasa a ser la tarea de Fargate, el contenido de </w:t>
      </w:r>
      <w:r>
        <w:rPr>
          <w:rFonts w:ascii="Consolas" w:hAnsi="Consolas"/>
          <w:sz w:val="20"/>
        </w:rPr>
        <w:t>saad-web</w:t>
      </w:r>
      <w:r>
        <w:rPr>
          <w:sz w:val="21"/>
        </w:rPr>
        <w:t xml:space="preserve"> (el build) se publica en S3 en lugar de servirse con nginx, y el contenedor del pipeline pasa a ser la tarea programada de Fargate (sigue disponible en el equipo para la reconstrucción completa).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65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edores_do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5E7685"/>
          <w:sz w:val="18"/>
        </w:rPr>
        <w:t>Figura 2.</w:t>
      </w:r>
      <w:r>
        <w:rPr>
          <w:color w:val="5E7685"/>
          <w:sz w:val="18"/>
        </w:rPr>
        <w:t xml:space="preserve"> Diagrama UML de despliegue de los contenedores Docker (</w:t>
      </w:r>
      <w:r>
        <w:rPr>
          <w:rFonts w:ascii="Consolas" w:hAnsi="Consolas"/>
          <w:color w:val="5E7685"/>
          <w:sz w:val="17"/>
        </w:rPr>
        <w:t>docker-compose.yml</w:t>
      </w:r>
      <w:r>
        <w:rPr>
          <w:color w:val="5E7685"/>
          <w:sz w:val="18"/>
        </w:rPr>
        <w:t xml:space="preserve">). Fuente editable en draw.io: </w:t>
      </w:r>
      <w:r>
        <w:rPr>
          <w:rFonts w:ascii="Consolas" w:hAnsi="Consolas"/>
          <w:color w:val="5E7685"/>
          <w:sz w:val="17"/>
        </w:rPr>
        <w:t>docs/07-diagramas/contenedores_docker.drawio</w:t>
      </w:r>
      <w:r>
        <w:rPr>
          <w:color w:val="5E7685"/>
          <w:sz w:val="18"/>
        </w:rPr>
        <w:t>.</w:t>
      </w:r>
    </w:p>
    <w:p>
      <w:pPr>
        <w:pStyle w:val="Heading1"/>
      </w:pPr>
      <w:r>
        <w:t>4. Estimación de costos</w:t>
      </w:r>
    </w:p>
    <w:p>
      <w:pPr>
        <w:jc w:val="both"/>
      </w:pPr>
      <w:r>
        <w:rPr>
          <w:sz w:val="21"/>
        </w:rPr>
        <w:t xml:space="preserve">Estimación mensual en us-east-1 con precios de lista a la fecha de redacción, 730 horas al mes y tráfico bajo (uso académico y de validación). Son valores </w:t>
      </w:r>
      <w:r>
        <w:rPr>
          <w:b/>
          <w:sz w:val="21"/>
        </w:rPr>
        <w:t>estimados, no medidos</w:t>
      </w:r>
      <w:r>
        <w:rPr>
          <w:sz w:val="21"/>
        </w:rPr>
        <w:t>: deben confirmarse ingresando estas mismas configuraciones en AWS Pricing Calculator y adjuntando el enlace como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221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362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Configuración para la calculadora</w:t>
            </w:r>
          </w:p>
        </w:tc>
        <w:tc>
          <w:tcPr>
            <w:tcW w:type="dxa" w:w="283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Precio unitario usado (US$)</w:t>
            </w:r>
          </w:p>
        </w:tc>
        <w:tc>
          <w:tcPr>
            <w:tcW w:type="dxa" w:w="136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US$/mes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Fargate · tarea api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>
              <w:rPr>
                <w:sz w:val="17"/>
              </w:rPr>
              <w:t>Linux x86, 1 tarea, 0,5 vCPU, 2 GB, 730 h, 20 GB efímeros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7"/>
              </w:rPr>
              <w:t>0,04048 por vCPU·h; 0,004445 por GB·h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7"/>
              </w:rPr>
              <w:t>21,27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Fargate · tarea pipeline</w:t>
            </w:r>
          </w:p>
        </w:tc>
        <w:tc>
          <w:tcPr>
            <w:tcW w:type="dxa" w:w="362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Linux x86, 4 vCPU, 16 GB, 1 h × 4,35 semanas, 50 GB efímeros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Ídem; 0,000111 por GB·h efímero sobre 20 GB</w:t>
            </w:r>
          </w:p>
        </w:tc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1,02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Load Balancer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>
              <w:rPr>
                <w:sz w:val="17"/>
              </w:rPr>
              <w:t>1 balanceador, 730 h, 1 LCU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7"/>
              </w:rPr>
              <w:t>0,0225 por h; 0,008 por LCU·h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7"/>
              </w:rPr>
              <w:t>22,27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IPv4 públicas</w:t>
            </w:r>
          </w:p>
        </w:tc>
        <w:tc>
          <w:tcPr>
            <w:tcW w:type="dxa" w:w="362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3 direcciones 730 h (2 del balanceador, 1 de la API) y 1 de la tarea pipeline ~4 h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0,005 por IP·h</w:t>
            </w:r>
          </w:p>
        </w:tc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10,97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CloudFront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>
              <w:rPr>
                <w:sz w:val="17"/>
              </w:rPr>
              <w:t>Menos de 1 TB de salida y 10 millones de solicitudes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7"/>
              </w:rPr>
              <w:t>Capa gratuita permanente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7"/>
              </w:rPr>
              <w:t>0,00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S3 Standard</w:t>
            </w:r>
          </w:p>
        </w:tc>
        <w:tc>
          <w:tcPr>
            <w:tcW w:type="dxa" w:w="362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~12,5 GB (RAW, outputs, reportes y sitio)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0,023 por GB-mes</w:t>
            </w:r>
          </w:p>
        </w:tc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0,29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ECR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>
              <w:rPr>
                <w:sz w:val="17"/>
              </w:rPr>
              <w:t>~2 GB (dos versiones de una imagen de 840 MB)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7"/>
              </w:rPr>
              <w:t>0,10 por GB-mes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7"/>
              </w:rPr>
              <w:t>0,20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CloudWatch Logs</w:t>
            </w:r>
          </w:p>
        </w:tc>
        <w:tc>
          <w:tcPr>
            <w:tcW w:type="dxa" w:w="362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~1 GB ingerido al mes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0,50 por GB</w:t>
            </w:r>
          </w:p>
        </w:tc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0,53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EventBridge Scheduler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>
              <w:rPr>
                <w:sz w:val="17"/>
              </w:rPr>
              <w:t>~4 invocaciones al mes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7"/>
              </w:rPr>
              <w:t>Capa gratuita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7"/>
              </w:rPr>
              <w:t>0,00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AWS Certificate Manager</w:t>
            </w:r>
          </w:p>
        </w:tc>
        <w:tc>
          <w:tcPr>
            <w:tcW w:type="dxa" w:w="362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Certificados públicos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Sin costo</w:t>
            </w:r>
          </w:p>
        </w:tc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0,00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Total base</w:t>
            </w:r>
          </w:p>
        </w:tc>
        <w:tc>
          <w:tcPr>
            <w:tcW w:type="dxa" w:w="3628"/>
          </w:tcPr>
          <w:p>
            <w:pPr>
              <w:spacing w:before="40" w:after="40"/>
            </w:pPr>
          </w:p>
        </w:tc>
        <w:tc>
          <w:tcPr>
            <w:tcW w:type="dxa" w:w="2835"/>
          </w:tcPr>
          <w:p>
            <w:pPr>
              <w:spacing w:before="40" w:after="40"/>
            </w:pP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7"/>
              </w:rPr>
              <w:t>≈ 56,55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Aurora Serverless v2 (opcional)</w:t>
            </w:r>
          </w:p>
        </w:tc>
        <w:tc>
          <w:tcPr>
            <w:tcW w:type="dxa" w:w="362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0,5 ACU durante 60 h al mes, pausada el resto; 1 GB</w:t>
            </w:r>
          </w:p>
        </w:tc>
        <w:tc>
          <w:tcPr>
            <w:tcW w:type="dxa" w:w="283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0,12 por ACU·h; 0,10 por GB-mes</w:t>
            </w:r>
          </w:p>
        </w:tc>
        <w:tc>
          <w:tcPr>
            <w:tcW w:type="dxa" w:w="13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≈ 3,70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before="40" w:after="40"/>
            </w:pPr>
            <w:r>
              <w:rPr>
                <w:b/>
                <w:sz w:val="17"/>
              </w:rPr>
              <w:t>Aurora Serverless v2 sin pausa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>
              <w:rPr>
                <w:sz w:val="17"/>
              </w:rPr>
              <w:t>0,5 ACU durante 730 h; 1 GB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7"/>
              </w:rPr>
              <w:t>Ídem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>
              <w:rPr>
                <w:sz w:val="17"/>
              </w:rPr>
              <w:t>≈ 43,90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sz w:val="21"/>
        </w:rPr>
        <w:t>Base: ≈ US$57 al mes (≈ US$679 al año).</w:t>
      </w:r>
      <w:r>
        <w:rPr>
          <w:sz w:val="21"/>
        </w:rPr>
        <w:t xml:space="preserve"> Casi el 60 % es costo fijo del balanceador y de las IPv4, que se paga aunque no haya visitas. La actualización semanal de datos agrega poco más de US$1.</w:t>
      </w:r>
    </w:p>
    <w:p>
      <w:pPr>
        <w:pStyle w:val="ListBullet"/>
        <w:spacing w:after="60"/>
      </w:pPr>
      <w:r>
        <w:rPr>
          <w:b/>
          <w:sz w:val="21"/>
        </w:rPr>
        <w:t>Con base de datos:</w:t>
      </w:r>
      <w:r>
        <w:rPr>
          <w:sz w:val="21"/>
        </w:rPr>
        <w:t xml:space="preserve"> ≈ US$60 si Aurora se pausa fuera de uso; ≈ US$100 si queda encendida.</w:t>
      </w:r>
    </w:p>
    <w:p>
      <w:pPr>
        <w:pStyle w:val="ListBullet"/>
        <w:spacing w:after="60"/>
      </w:pPr>
      <w:r>
        <w:rPr>
          <w:b/>
          <w:sz w:val="21"/>
        </w:rPr>
        <w:t>Para reducirlo:</w:t>
      </w:r>
      <w:r>
        <w:rPr>
          <w:sz w:val="21"/>
        </w:rPr>
        <w:t xml:space="preserve"> Fargate sobre ARM (Graviton) baja el cómputo cerca de un 20 %; dejar la tarea en 0 fuera de las demos ahorra los ~US$21 de Fargate, no el balanceador. Fargate Spot no sirve: puede interrumpir la única tarea.</w:t>
      </w:r>
    </w:p>
    <w:p>
      <w:pPr>
        <w:pStyle w:val="ListBullet"/>
        <w:spacing w:after="60"/>
      </w:pPr>
      <w:r>
        <w:rPr>
          <w:b/>
          <w:sz w:val="21"/>
        </w:rPr>
        <w:t>Fuera de la estimación:</w:t>
      </w:r>
      <w:r>
        <w:rPr>
          <w:sz w:val="21"/>
        </w:rPr>
        <w:t xml:space="preserve"> la reconstrucción completa y el benchmark corren en el equipo (sin costo de nube); un dominio propio en Route 53 sumaría US$0,50 al mes más su registro.</w:t>
      </w:r>
    </w:p>
    <w:p>
      <w:pPr>
        <w:pStyle w:val="Heading2"/>
      </w:pPr>
      <w:r>
        <w:t>4.1 Alternativa más barata considerada</w:t>
      </w:r>
    </w:p>
    <w:p>
      <w:pPr>
        <w:jc w:val="both"/>
      </w:pPr>
      <w:r>
        <w:rPr>
          <w:sz w:val="21"/>
        </w:rPr>
        <w:t xml:space="preserve">Una sola máquina EC2 (t3.small) ejecutando el </w:t>
      </w:r>
      <w:r>
        <w:rPr>
          <w:rFonts w:ascii="Consolas" w:hAnsi="Consolas"/>
          <w:sz w:val="20"/>
        </w:rPr>
        <w:t>docker-compose.yml</w:t>
      </w:r>
      <w:r>
        <w:rPr>
          <w:sz w:val="21"/>
        </w:rPr>
        <w:t xml:space="preserve"> actual costaría cerca de US$15 a US$20 al mes. Se descartó porque el equipo tendría que mantener el servidor (parches, disco, certificados, reinicios), lo que choca con un equipo de cuatro personas con dedicación parcial (RO-01). Es la alternativa de respaldo si el costo resulta inviable.</w:t>
      </w:r>
    </w:p>
    <w:p>
      <w:pPr>
        <w:pStyle w:val="Heading1"/>
      </w:pPr>
      <w:r>
        <w:t>5. Por qué AWS y no otra nube</w:t>
      </w:r>
    </w:p>
    <w:p>
      <w:pPr>
        <w:jc w:val="both"/>
      </w:pPr>
      <w:r>
        <w:rPr>
          <w:sz w:val="21"/>
        </w:rPr>
        <w:t>La comparación se hace contra Google Cloud y Microsoft Azure, con criterios que salen de la propia arquitectura del SAAD y no de preferencias del equipo.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43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AWS</w:t>
            </w:r>
          </w:p>
        </w:tc>
        <w:tc>
          <w:tcPr>
            <w:tcW w:type="dxa" w:w="249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Google Cloud</w:t>
            </w:r>
          </w:p>
        </w:tc>
        <w:tc>
          <w:tcPr>
            <w:tcW w:type="dxa" w:w="249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Azure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b/>
                <w:sz w:val="17"/>
              </w:rPr>
              <w:t>Contenedor de API con estado en memoria, arranque lento y cálculo en segundo plano (ADR-06 del DAS)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>
              <w:rPr>
                <w:sz w:val="17"/>
              </w:rPr>
              <w:t>Fargate: tarea siempre encendida con CPU dedicada; es su modo normal.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Cloud Run: para esta carga necesita una instancia mínima y CPU asignada siempre; pierde su ventaja de escalar a cero.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Container Apps: igual que Cloud Run, requiere una réplica mínima encendida.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PostgreSQL con PostGIS gestionado que se pausa solo (RT-03)</w:t>
            </w:r>
          </w:p>
        </w:tc>
        <w:tc>
          <w:tcPr>
            <w:tcW w:type="dxa" w:w="243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Aurora Serverless v2 con pausa automática.</w:t>
            </w:r>
          </w:p>
        </w:tc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Cloud SQL tiene PostGIS, pero la instancia queda encendida; solo se detiene a mano.</w:t>
            </w:r>
          </w:p>
        </w:tc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Flexible Server tiene PostGIS; solo se detiene a mano y por un tiempo limitado.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b/>
                <w:sz w:val="17"/>
              </w:rPr>
              <w:t>Sitio estático y API bajo un mismo dominio</w:t>
            </w:r>
          </w:p>
        </w:tc>
        <w:tc>
          <w:tcPr>
            <w:tcW w:type="dxa" w:w="2438"/>
          </w:tcPr>
          <w:p>
            <w:pPr>
              <w:spacing w:before="40" w:after="40"/>
            </w:pPr>
            <w:r>
              <w:rPr>
                <w:sz w:val="17"/>
              </w:rPr>
              <w:t>CloudFront y S3.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Firebase Hosting o balanceador con Cloud CDN.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>
              <w:rPr>
                <w:sz w:val="17"/>
              </w:rPr>
              <w:t>Static Web Apps o Front Door.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Región más cercana a los usuarios</w:t>
            </w:r>
          </w:p>
        </w:tc>
        <w:tc>
          <w:tcPr>
            <w:tcW w:type="dxa" w:w="243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São Paulo (este diseño usa us-east-1 por costo).</w:t>
            </w:r>
          </w:p>
        </w:tc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Santiago.</w:t>
            </w:r>
          </w:p>
        </w:tc>
        <w:tc>
          <w:tcPr>
            <w:tcW w:type="dxa" w:w="2494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São Paulo.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sz w:val="21"/>
        </w:rPr>
        <w:t>Conclusión.</w:t>
      </w:r>
      <w:r>
        <w:rPr>
          <w:sz w:val="21"/>
        </w:rPr>
        <w:t xml:space="preserve"> Las tres nubes pueden ejecutar el SAAD. AWS se elige por dos razones técnicas: es la única que ofrece la base espacial planificada (PostgreSQL con PostGIS) gestionada y con pausa automática, lo que permite sumar RT-03 sin un costo fijo adicional; y la principal ventaja de las alternativas, escalar a cero, no aplica a una API que debe quedar encendida con sus datos en memoria. A cambio se acepta el costo fijo del balanceador y una latencia mayor que la que daría la región de Google Cloud en Santiago. Si la base relacional se descartara, Google Cloud sería una alternativa equivalente; por eso el código no depende de servicios propietarios (ADR-11).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E3F0F8"/>
          </w:tcPr>
          <w:p>
            <w:pPr>
              <w:spacing w:before="80" w:after="80"/>
            </w:pPr>
            <w:r>
              <w:rPr>
                <w:sz w:val="20"/>
              </w:rPr>
              <w:t>Las características de los servicios de cada proveedor cambian con frecuencia. Deben verificarse en su documentación oficial a la fecha de cada entrega.</w:t>
            </w:r>
          </w:p>
        </w:tc>
      </w:tr>
    </w:tbl>
    <w:p>
      <w:pPr>
        <w:spacing w:after="40"/>
      </w:pPr>
    </w:p>
    <w:p>
      <w:pPr>
        <w:pStyle w:val="Heading1"/>
      </w:pPr>
      <w:r>
        <w:t>6. Por qué una sola nube</w:t>
      </w:r>
    </w:p>
    <w:p>
      <w:pPr>
        <w:pStyle w:val="ListBullet"/>
        <w:spacing w:after="60"/>
      </w:pPr>
      <w:r>
        <w:rPr>
          <w:b/>
          <w:sz w:val="21"/>
        </w:rPr>
        <w:t>No hay un requisito que lo pida.</w:t>
      </w:r>
      <w:r>
        <w:rPr>
          <w:sz w:val="21"/>
        </w:rPr>
        <w:t xml:space="preserve"> El SAAD es un servicio de solo lectura para planificación, sin compromiso de disponibilidad que justifique redundancia entre proveedores ni datos que deban residir en dos lugares.</w:t>
      </w:r>
    </w:p>
    <w:p>
      <w:pPr>
        <w:pStyle w:val="ListBullet"/>
        <w:spacing w:after="60"/>
      </w:pPr>
      <w:r>
        <w:rPr>
          <w:b/>
          <w:sz w:val="21"/>
        </w:rPr>
        <w:t>Duplicaría el trabajo y el costo.</w:t>
      </w:r>
      <w:r>
        <w:rPr>
          <w:sz w:val="21"/>
        </w:rPr>
        <w:t xml:space="preserve"> Dos balanceadores, dos registros de imágenes, dos esquemas de permisos y dos monitoreos para un equipo de cuatro personas con dedicación parcial (RO-01) y sin presupuesto (RO-02). El tráfico de datos entre nubes también se cobra.</w:t>
      </w:r>
    </w:p>
    <w:p>
      <w:pPr>
        <w:pStyle w:val="ListBullet"/>
        <w:spacing w:after="60"/>
      </w:pPr>
      <w:r>
        <w:rPr>
          <w:b/>
          <w:sz w:val="21"/>
        </w:rPr>
        <w:t>La portabilidad ya se obtiene sin varias nubes.</w:t>
      </w:r>
      <w:r>
        <w:rPr>
          <w:sz w:val="21"/>
        </w:rPr>
        <w:t xml:space="preserve"> Imágenes Docker estándar, datos en Parquet y PostgreSQL estándar: mover el SAAD a otro proveedor es cambiar el destino del despliegue, no el código (ADR-11).</w:t>
      </w:r>
    </w:p>
    <w:p>
      <w:pPr>
        <w:pStyle w:val="Heading1"/>
      </w:pPr>
      <w:r>
        <w:t>7. Tecnologías del to-be y su justificación</w:t>
      </w:r>
    </w:p>
    <w:p>
      <w:pPr>
        <w:jc w:val="both"/>
      </w:pPr>
      <w:r>
        <w:rPr>
          <w:sz w:val="21"/>
        </w:rPr>
        <w:t>Las tecnologías del as-is (Python, FastAPI, pandas y PyArrow, Parquet, LightGBM, React, Vite, Tailwind, Leaflet, entre otras) se justifican en la sección 10.1 del DAS. Esta tabla cubre solo lo que agrega el despliegue.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204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3742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Por qué</w:t>
            </w:r>
          </w:p>
        </w:tc>
        <w:tc>
          <w:tcPr>
            <w:tcW w:type="dxa" w:w="226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Alternativa descartada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sz w:val="17"/>
              </w:rPr>
              <w:t>Docker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Empaquetado de la API y el pipeline.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7"/>
              </w:rPr>
              <w:t>La misma imagen corre en el equipo y en Fargate; elimina diferencias de entorno.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7"/>
              </w:rPr>
              <w:t>Instalar dependencias en cada servidor.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ECS con AWS Fargate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Ejecución de la API y de la tarea pipeline.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 API como contenedor siempre encendido y el pipeline como tarea que solo cobra mientras corre, ambos sin administrar servidores (sección 5).</w:t>
            </w:r>
          </w:p>
        </w:tc>
        <w:tc>
          <w:tcPr>
            <w:tcW w:type="dxa" w:w="226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EC2 con Docker Compose: más barato, pero el equipo mantiene el servidor (sección 4.1).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sz w:val="17"/>
              </w:rPr>
              <w:t>EventBridge Scheduler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Ejecución semanal del pipeline.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7"/>
              </w:rPr>
              <w:t>Programación gestionada y gratuita a esta escala (sección 3.3).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7"/>
              </w:rPr>
              <w:t>Cron en un servidor propio; Lambda, por sus límites de tiempo y disco.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Load Balancer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Entrada estable a la API.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 IP de una tarea Fargate cambia en cada reinicio.</w:t>
            </w:r>
          </w:p>
        </w:tc>
        <w:tc>
          <w:tcPr>
            <w:tcW w:type="dxa" w:w="226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IP pública directa: inestable y sin HTTPS.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sz w:val="17"/>
              </w:rPr>
              <w:t>S3 y CloudFront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Sitio estático, datos y HTTPS.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7"/>
              </w:rPr>
              <w:t>Los estáticos no necesitan un contenedor; CloudFront une sitio y API en un dominio.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7"/>
              </w:rPr>
              <w:t>Servir el sitio desde un contenedor encendido.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Amazon ECR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Registro de imágenes.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Privado y en la misma red que Fargate.</w:t>
            </w:r>
          </w:p>
        </w:tc>
        <w:tc>
          <w:tcPr>
            <w:tcW w:type="dxa" w:w="226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Registro público: expone la imagen.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before="40" w:after="40"/>
            </w:pPr>
            <w:r>
              <w:rPr>
                <w:b/>
                <w:sz w:val="17"/>
              </w:rPr>
              <w:t>CloudWatch Logs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7"/>
              </w:rPr>
              <w:t>Registros de la API.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sz w:val="17"/>
              </w:rPr>
              <w:t>Integrado con Fargate, sin agentes.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Aurora Serverless v2</w:t>
            </w:r>
          </w:p>
        </w:tc>
        <w:tc>
          <w:tcPr>
            <w:tcW w:type="dxa" w:w="204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PostgreSQL con PostGIS (opcional).</w:t>
            </w:r>
          </w:p>
        </w:tc>
        <w:tc>
          <w:tcPr>
            <w:tcW w:type="dxa" w:w="3742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Gestionada y con pausa automática: sin costo de cómputo mientras no se usa.</w:t>
            </w:r>
          </w:p>
        </w:tc>
        <w:tc>
          <w:tcPr>
            <w:tcW w:type="dxa" w:w="226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RDS siempre encendida (~US$15 al mes).</w:t>
            </w:r>
          </w:p>
        </w:tc>
      </w:tr>
    </w:tbl>
    <w:p>
      <w:pPr>
        <w:spacing w:after="80"/>
      </w:pPr>
    </w:p>
    <w:p>
      <w:pPr>
        <w:pStyle w:val="Heading1"/>
      </w:pPr>
      <w:r>
        <w:t>8. Decisiones arquitectónicas</w:t>
      </w:r>
    </w:p>
    <w:p>
      <w:pPr>
        <w:jc w:val="both"/>
      </w:pPr>
      <w:r>
        <w:rPr>
          <w:sz w:val="21"/>
        </w:rPr>
        <w:t>Continúan la numeración del registro de decisiones del DAS (ADR-01 a ADR-09).</w:t>
      </w:r>
    </w:p>
    <w:p>
      <w:pPr>
        <w:pStyle w:val="Heading3"/>
      </w:pPr>
      <w:r>
        <w:t>ADR-10 · Despliegue objetivo en AWS con contenedores gestionados y sitio estático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83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40" w:after="40"/>
            </w:pPr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8334"/>
          </w:tcPr>
          <w:p>
            <w:pPr>
              <w:keepNext/>
              <w:spacing w:before="40" w:after="40"/>
            </w:pPr>
            <w:r>
              <w:rPr>
                <w:sz w:val="18"/>
              </w:rPr>
              <w:t>La plataforma debe poder publicarse con HTTPS para usuarios fuera del equipo, sin que nadie administre servidores y con un costo acotado.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3F6"/>
          </w:tcPr>
          <w:p>
            <w:pPr>
              <w:keepNext/>
              <w:spacing w:before="40" w:after="40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8334"/>
            <w:shd w:val="clear" w:color="auto" w:fill="EEF3F6"/>
          </w:tcPr>
          <w:p>
            <w:pPr>
              <w:keepNext/>
              <w:spacing w:before="40" w:after="40"/>
            </w:pPr>
            <w:r>
              <w:rPr>
                <w:sz w:val="18"/>
              </w:rPr>
              <w:t xml:space="preserve">La API corre como una tarea de ECS en Fargate detrás de un balanceador; la aplicación se publica en S3 con CloudFront, que también enruta </w:t>
            </w:r>
            <w:r>
              <w:rPr>
                <w:rFonts w:ascii="Consolas" w:hAnsi="Consolas"/>
                <w:sz w:val="18"/>
              </w:rPr>
              <w:t>/api/*</w:t>
            </w:r>
            <w:r>
              <w:rPr>
                <w:sz w:val="18"/>
              </w:rPr>
              <w:t>; los datos viven en S3. Una tarea de Fargate programada con EventBridge actualiza los datos y el pronóstico cada semana. La base PostgreSQL con PostGIS se agrega en Aurora Serverless v2 cuando la API la use. La reconstrucción completa y el benchmark siguen en el equipo.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sz w:val="18"/>
              </w:rPr>
              <w:t>Consecuencias</w:t>
            </w:r>
          </w:p>
        </w:tc>
        <w:tc>
          <w:tcPr>
            <w:tcW w:type="dxa" w:w="8334"/>
          </w:tcPr>
          <w:p>
            <w:pPr>
              <w:spacing w:before="40" w:after="40"/>
            </w:pPr>
            <w:r>
              <w:rPr>
                <w:sz w:val="18"/>
              </w:rPr>
              <w:t>A favor: mismas imágenes que en el as-is, sin servidores, con HTTPS y con datos que se actualizan solos. En contra: ≈ US$57 al mes, la mayor parte fija por el balanceador; exige resolver R-01 antes de desplegar.</w:t>
            </w:r>
          </w:p>
        </w:tc>
      </w:tr>
    </w:tbl>
    <w:p>
      <w:pPr>
        <w:spacing w:after="80"/>
      </w:pPr>
    </w:p>
    <w:p>
      <w:pPr>
        <w:pStyle w:val="Heading3"/>
      </w:pPr>
      <w:r>
        <w:t>ADR-11 · Una sola nube y sin servicios propietarios en el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8334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40" w:after="40"/>
            </w:pPr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8334"/>
          </w:tcPr>
          <w:p>
            <w:pPr>
              <w:keepNext/>
              <w:spacing w:before="40" w:after="40"/>
            </w:pPr>
            <w:r>
              <w:rPr>
                <w:sz w:val="18"/>
              </w:rPr>
              <w:t>Repartir el sistema entre proveedores no responde a ningún requisito, y quedar atado a uno haría costoso cambiarlo.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3F6"/>
          </w:tcPr>
          <w:p>
            <w:pPr>
              <w:keepNext/>
              <w:spacing w:before="40" w:after="40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8334"/>
            <w:shd w:val="clear" w:color="auto" w:fill="EEF3F6"/>
          </w:tcPr>
          <w:p>
            <w:pPr>
              <w:keepNext/>
              <w:spacing w:before="40" w:after="40"/>
            </w:pPr>
            <w:r>
              <w:rPr>
                <w:sz w:val="18"/>
              </w:rPr>
              <w:t>Se usa un solo proveedor. El código solo depende de estándares: imágenes Docker, archivos Parquet en almacenamiento de objetos y PostgreSQL. Lo propio de AWS queda en la configuración del despliegue.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/>
            </w:pPr>
            <w:r>
              <w:rPr>
                <w:b/>
                <w:sz w:val="18"/>
              </w:rPr>
              <w:t>Consecuencias</w:t>
            </w:r>
          </w:p>
        </w:tc>
        <w:tc>
          <w:tcPr>
            <w:tcW w:type="dxa" w:w="8334"/>
          </w:tcPr>
          <w:p>
            <w:pPr>
              <w:spacing w:before="40" w:after="40"/>
            </w:pPr>
            <w:r>
              <w:rPr>
                <w:sz w:val="18"/>
              </w:rPr>
              <w:t>A favor: operación y costo simples, migrable cambiando el destino. En contra: sin redundancia ante una caída del proveedor, aceptable para un servicio de planificación.</w:t>
            </w:r>
          </w:p>
        </w:tc>
      </w:tr>
    </w:tbl>
    <w:p>
      <w:pPr>
        <w:spacing w:after="80"/>
      </w:pPr>
    </w:p>
    <w:p>
      <w:pPr>
        <w:pStyle w:val="Heading1"/>
      </w:pPr>
      <w:r>
        <w:t>9. Relación con la solución y la demo</w:t>
      </w:r>
    </w:p>
    <w:p>
      <w:pPr>
        <w:pStyle w:val="ListBullet"/>
        <w:spacing w:after="60"/>
      </w:pPr>
      <w:r>
        <w:rPr>
          <w:b/>
          <w:sz w:val="21"/>
        </w:rPr>
        <w:t>La demo usa el as-is.</w:t>
      </w:r>
      <w:r>
        <w:rPr>
          <w:sz w:val="21"/>
        </w:rPr>
        <w:t xml:space="preserve"> </w:t>
      </w:r>
      <w:r>
        <w:rPr>
          <w:rFonts w:ascii="Consolas" w:hAnsi="Consolas"/>
          <w:sz w:val="20"/>
        </w:rPr>
        <w:t>docker compose up</w:t>
      </w:r>
      <w:r>
        <w:rPr>
          <w:sz w:val="21"/>
        </w:rPr>
        <w:t xml:space="preserve"> levanta la aplicación y la API con las mismas imágenes que irían a AWS; la plataforma completa se muestra sin depender de la nube.</w:t>
      </w:r>
    </w:p>
    <w:p>
      <w:pPr>
        <w:pStyle w:val="ListBullet"/>
        <w:spacing w:after="60"/>
      </w:pPr>
      <w:r>
        <w:rPr>
          <w:b/>
          <w:sz w:val="21"/>
        </w:rPr>
        <w:t>El to-be se justifica para el acceso público</w:t>
      </w:r>
      <w:r>
        <w:rPr>
          <w:sz w:val="21"/>
        </w:rPr>
        <w:t>, por ejemplo la validación con un usuario piloto fuera del equipo: da una URL HTTPS estable sin exponer el equipo de un integrante.</w:t>
      </w:r>
    </w:p>
    <w:p>
      <w:pPr>
        <w:pStyle w:val="ListBullet"/>
        <w:spacing w:after="60"/>
      </w:pPr>
      <w:r>
        <w:rPr>
          <w:b/>
          <w:sz w:val="21"/>
        </w:rPr>
        <w:t>Antes de desplegar</w:t>
      </w:r>
      <w:r>
        <w:rPr>
          <w:sz w:val="21"/>
        </w:rPr>
        <w:t xml:space="preserve"> debe resolverse R-01 (sección 10); R-09 y R-10 ya están resueltos en la imagen del pipeline.</w:t>
      </w:r>
    </w:p>
    <w:p>
      <w:pPr>
        <w:pStyle w:val="Heading1"/>
      </w:pPr>
      <w:r>
        <w:t>10. Riesgos y limitaciones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061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2948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175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7"/>
              </w:rPr>
              <w:t>Tratamiento propuesto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7"/>
              </w:rPr>
              <w:t>R-01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7"/>
              </w:rPr>
              <w:t>Al arrancar, la API lee también RAW de Urgencias y de población (~12 GB), no solo outputs procesados.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Desplegarla exige llevar el RAW completo a la nube: más almacenamiento y arranques lentos.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Que la API consuma solo outputs procesados (~200 MB) y los baje desde S3 al arrancar.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R-02</w:t>
            </w:r>
          </w:p>
        </w:tc>
        <w:tc>
          <w:tcPr>
            <w:tcW w:type="dxa" w:w="30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Si el pronóstico persistido no está vigente, la API lo recalcula al arrancar.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Hoy toma ~15 min con 12 núcleos; con 0,5 vCPU serían horas sin pronóstico.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 tarea pipeline semanal regenera el pronóstico antes de publicar (sección 3.3).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7"/>
              </w:rPr>
              <w:t>R-03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7"/>
              </w:rPr>
              <w:t>No hay infraestructura como código ni publicación automática.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Crear los recursos a mano no es reproducible ni fácil de destruir.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Describir la infraestructura como código antes del primer despliegue.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R-04</w:t>
            </w:r>
          </w:p>
        </w:tc>
        <w:tc>
          <w:tcPr>
            <w:tcW w:type="dxa" w:w="30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Costos estimados con precios de lista, no medidos.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El costo real puede diferir (tráfico, precios vigentes).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Confirmar en AWS Pricing Calculator y revisar la facturación el primer mes.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7"/>
              </w:rPr>
              <w:t>R-05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7"/>
              </w:rPr>
              <w:t>Costo fijo del balanceador y de las IPv4 (≈ US$33 al mes) aunque no haya tráfico.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Pagar por un servicio sin uso entre demos.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Destruir y recrear el entorno entre demos cuando exista infraestructura como código.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R-06</w:t>
            </w:r>
          </w:p>
        </w:tc>
        <w:tc>
          <w:tcPr>
            <w:tcW w:type="dxa" w:w="30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us-east-1 está lejos de los usuarios en Chile.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Latencia adicional en cada consulta a la API (no medida).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Aceptable para un servicio de planificación; si se mide un problema, mover a São Paulo.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7"/>
              </w:rPr>
              <w:t>R-07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7"/>
              </w:rPr>
              <w:t>Una sola tarea de la API, con estado en memoria.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Un reinicio deja la API sin servicio mientras carga.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 xml:space="preserve">Aceptado para el MVP (DT-07 del DAS); el frontend ya reintenta ante </w:t>
            </w:r>
            <w:r>
              <w:rPr>
                <w:rFonts w:ascii="Consolas" w:hAnsi="Consolas"/>
                <w:sz w:val="17"/>
              </w:rPr>
              <w:t>503</w:t>
            </w:r>
            <w:r>
              <w:rPr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R-08</w:t>
            </w:r>
          </w:p>
        </w:tc>
        <w:tc>
          <w:tcPr>
            <w:tcW w:type="dxa" w:w="30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Sin presupuesto asignado (RO-02).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El to-be no puede desplegarse sin financiamiento.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El as-is cubre la demo; el to-be se activa solo si se aprueba su costo.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7"/>
              </w:rPr>
              <w:t>R-09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7"/>
              </w:rPr>
              <w:t xml:space="preserve">El pipeline asume </w:t>
            </w:r>
            <w:r>
              <w:rPr>
                <w:rFonts w:ascii="Consolas" w:hAnsi="Consolas"/>
                <w:sz w:val="17"/>
              </w:rPr>
              <w:t>data/</w:t>
            </w:r>
            <w:r>
              <w:rPr>
                <w:sz w:val="17"/>
              </w:rPr>
              <w:t xml:space="preserve"> en disco local.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La tarea programada no puede leer ni escribir S3 directamente.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 xml:space="preserve">Implementado: la imagen </w:t>
            </w:r>
            <w:r>
              <w:rPr>
                <w:rFonts w:ascii="Consolas" w:hAnsi="Consolas"/>
                <w:sz w:val="17"/>
              </w:rPr>
              <w:t>saad-pipeline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src/cloud/pipeline_task.py</w:t>
            </w:r>
            <w:r>
              <w:rPr>
                <w:sz w:val="17"/>
              </w:rPr>
              <w:t xml:space="preserve">) sincroniza </w:t>
            </w:r>
            <w:r>
              <w:rPr>
                <w:rFonts w:ascii="Consolas" w:hAnsi="Consolas"/>
                <w:sz w:val="17"/>
              </w:rPr>
              <w:t>data/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reports/</w:t>
            </w:r>
            <w:r>
              <w:rPr>
                <w:sz w:val="17"/>
              </w:rPr>
              <w:t xml:space="preserve"> con S3 antes y después, sin cambiar el pipeline; si un paso falla no sube nada.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7"/>
              </w:rPr>
              <w:t>R-10</w:t>
            </w:r>
          </w:p>
        </w:tc>
        <w:tc>
          <w:tcPr>
            <w:tcW w:type="dxa" w:w="3061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La API toma datos nuevos solo al reiniciarse.</w:t>
            </w:r>
          </w:p>
        </w:tc>
        <w:tc>
          <w:tcPr>
            <w:tcW w:type="dxa" w:w="2948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>Tras la actualización semanal seguiría sirviendo los datos anteriores.</w:t>
            </w:r>
          </w:p>
        </w:tc>
        <w:tc>
          <w:tcPr>
            <w:tcW w:type="dxa" w:w="3175"/>
            <w:shd w:val="clear" w:color="auto" w:fill="EEF3F6"/>
          </w:tcPr>
          <w:p>
            <w:pPr>
              <w:spacing w:before="40" w:after="40"/>
            </w:pPr>
            <w:r>
              <w:rPr>
                <w:sz w:val="17"/>
              </w:rPr>
              <w:t xml:space="preserve">Implementado: al terminar con cambios, la tarea fuerza un nuevo despliegue del servicio </w:t>
            </w:r>
            <w:r>
              <w:rPr>
                <w:rFonts w:ascii="Consolas" w:hAnsi="Consolas"/>
                <w:sz w:val="17"/>
              </w:rPr>
              <w:t>saad-api</w:t>
            </w:r>
            <w:r>
              <w:rPr>
                <w:sz w:val="17"/>
              </w:rPr>
              <w:t xml:space="preserve"> (variables </w:t>
            </w:r>
            <w:r>
              <w:rPr>
                <w:rFonts w:ascii="Consolas" w:hAnsi="Consolas"/>
                <w:sz w:val="17"/>
              </w:rPr>
              <w:t>SAAD_ECS_CLUSTER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SAAD_ECS_SERVICE</w:t>
            </w:r>
            <w:r>
              <w:rPr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7"/>
              </w:rPr>
              <w:t>R-11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>
              <w:rPr>
                <w:sz w:val="17"/>
              </w:rPr>
              <w:t>La frecuencia del DEIS se infirió de dos snapshots, no de un calendario oficial.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7"/>
              </w:rPr>
              <w:t>La ejecución del lunes podría no tomar la semana más reciente.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 xml:space="preserve">Registrar </w:t>
            </w:r>
            <w:r>
              <w:rPr>
                <w:rFonts w:ascii="Consolas" w:hAnsi="Consolas"/>
                <w:sz w:val="17"/>
              </w:rPr>
              <w:t>data_lag_days</w:t>
            </w:r>
            <w:r>
              <w:rPr>
                <w:sz w:val="17"/>
              </w:rPr>
              <w:t xml:space="preserve"> durante unas semanas y ajustar el día de ejecución.</w:t>
            </w:r>
          </w:p>
        </w:tc>
      </w:tr>
    </w:tbl>
    <w:p>
      <w:pPr>
        <w:spacing w:after="80"/>
      </w:pPr>
    </w:p>
    <w:p>
      <w:pPr>
        <w:pStyle w:val="Heading1"/>
      </w:pPr>
      <w:r>
        <w:t>11. Trazabilidad con las tareas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 w:val="true"/>
        </w:trPr>
        <w:tc>
          <w:tcPr>
            <w:tcW w:type="dxa" w:w="4649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  <w:tc>
          <w:tcPr>
            <w:tcW w:type="dxa" w:w="5386"/>
            <w:shd w:val="clear" w:color="auto" w:fill="0B4660"/>
          </w:tcPr>
          <w:p>
            <w:pPr>
              <w:keepNext/>
              <w:spacing w:before="40" w:after="40"/>
            </w:pPr>
            <w:r>
              <w:rPr>
                <w:b/>
                <w:color w:val="FFFFFF"/>
                <w:sz w:val="19"/>
              </w:rPr>
              <w:t>Dónde se atiende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9"/>
              </w:rPr>
              <w:t>D2-16 · Diagrama actualizado o validado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Figura 1; sección 2.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D2-16 · Justificación técnica redactada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Secciones 2, 5, 6 y 7; ADR-10 y ADR-11.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9"/>
              </w:rPr>
              <w:t>D2-16 · Estimación de costos (revisión)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Sección 4.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D2-16 · Relación con solución y demo explicada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Sección 9.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9"/>
              </w:rPr>
              <w:t>D2-16 · Riesgos o limitaciones mencionados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Sección 10.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D2-21 · Nodos principales definidos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Figura 1 y sección 3.1.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9"/>
              </w:rPr>
              <w:t>D2-21 · Componentes desplegados representados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Figura 1 (servicios por nodo) y figura 2 (contenedores e imágenes).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EEF3F6"/>
          </w:tcPr>
          <w:p>
            <w:pPr>
              <w:spacing w:before="40" w:after="40"/>
            </w:pPr>
            <w:r>
              <w:rPr>
                <w:b/>
                <w:sz w:val="19"/>
              </w:rPr>
              <w:t>D2-21 · Relación con infraestructura clara</w:t>
            </w:r>
          </w:p>
        </w:tc>
        <w:tc>
          <w:tcPr>
            <w:tcW w:type="dxa" w:w="5386"/>
            <w:shd w:val="clear" w:color="auto" w:fill="EEF3F6"/>
          </w:tcPr>
          <w:p>
            <w:pPr>
              <w:spacing w:before="40" w:after="40"/>
            </w:pPr>
            <w:r>
              <w:rPr>
                <w:sz w:val="19"/>
              </w:rPr>
              <w:t>Figura 1 y secciones 3.1 y 3.2.</w:t>
            </w:r>
          </w:p>
        </w:tc>
      </w:tr>
      <w:tr>
        <w:trPr>
          <w:cantSplit w:val="true"/>
        </w:trPr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9"/>
              </w:rPr>
              <w:t>D2-21 · Coherencia con arquitectura propuesta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Sección 2; ADR-10 y ADR-11.</w:t>
            </w:r>
          </w:p>
        </w:tc>
      </w:tr>
    </w:tbl>
    <w:p>
      <w:pPr>
        <w:spacing w:after="80"/>
      </w:pPr>
    </w:p>
    <w:p>
      <w:pPr>
        <w:pStyle w:val="Heading2"/>
      </w:pPr>
      <w:r>
        <w:t>11.1 Mantenimiento de este documento</w:t>
      </w:r>
    </w:p>
    <w:p>
      <w:pPr>
        <w:jc w:val="both"/>
      </w:pPr>
      <w:r>
        <w:rPr>
          <w:sz w:val="21"/>
        </w:rPr>
        <w:t xml:space="preserve">Se regenera con </w:t>
      </w:r>
      <w:r>
        <w:rPr>
          <w:rFonts w:ascii="Consolas" w:hAnsi="Consolas"/>
          <w:sz w:val="20"/>
        </w:rPr>
        <w:t>python scripts/generate_arquitectura_to_be_docx.py</w:t>
      </w:r>
      <w:r>
        <w:rPr>
          <w:sz w:val="21"/>
        </w:rPr>
        <w:t>. Las figuras 1 y 2 se editan en draw.io (</w:t>
      </w:r>
      <w:r>
        <w:rPr>
          <w:rFonts w:ascii="Consolas" w:hAnsi="Consolas"/>
          <w:sz w:val="20"/>
        </w:rPr>
        <w:t>despliegue_to_be_aws.drawio</w:t>
      </w:r>
      <w:r>
        <w:rPr>
          <w:sz w:val="21"/>
        </w:rPr>
        <w:t xml:space="preserve"> y </w:t>
      </w:r>
      <w:r>
        <w:rPr>
          <w:rFonts w:ascii="Consolas" w:hAnsi="Consolas"/>
          <w:sz w:val="20"/>
        </w:rPr>
        <w:t>contenedores_docker.drawio</w:t>
      </w:r>
      <w:r>
        <w:rPr>
          <w:sz w:val="21"/>
        </w:rPr>
        <w:t xml:space="preserve">, en </w:t>
      </w:r>
      <w:r>
        <w:rPr>
          <w:rFonts w:ascii="Consolas" w:hAnsi="Consolas"/>
          <w:sz w:val="20"/>
        </w:rPr>
        <w:t>docs/07-diagramas/</w:t>
      </w:r>
      <w:r>
        <w:rPr>
          <w:sz w:val="21"/>
        </w:rPr>
        <w:t xml:space="preserve">) y se exportan a PNG con el mismo nombre desde draw.io (Archivo → Exportar como → PNG, escala 150 %) o con </w:t>
      </w:r>
      <w:r>
        <w:rPr>
          <w:rFonts w:ascii="Consolas" w:hAnsi="Consolas"/>
          <w:sz w:val="20"/>
        </w:rPr>
        <w:t>drawio -x -f png -s 1.5 -o &lt;archivo&gt;.png &lt;archivo&gt;.drawio</w:t>
      </w:r>
      <w:r>
        <w:rPr>
          <w:sz w:val="21"/>
        </w:rPr>
        <w:t>. Los precios de la sección 4 deben revisarse en AWS Pricing Calculator antes de cada entrega.</w:t>
      </w:r>
    </w:p>
    <w:sectPr w:rsidR="00FC693F" w:rsidRPr="0006063C" w:rsidSect="00034616">
      <w:footerReference w:type="default" r:id="rId9"/>
      <w:pgSz w:w="12240" w:h="15840"/>
      <w:pgMar w:top="1247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altName w:val="Calibri"/>
  </w:font>
  <w:font w:name="Plus Jakarta Sans">
    <w:altName w:val="Calibri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7685"/>
        <w:sz w:val="16"/>
      </w:rPr>
      <w:t xml:space="preserve">ATB-SAAD-2026 · Arquitectura to-be: despliegue en AWS · v1.0  |  Página </w:t>
    </w:r>
    <w:r>
      <w:rPr>
        <w:color w:val="5E7685"/>
        <w:sz w:val="16"/>
      </w:rPr>
      <w:fldChar w:fldCharType="begin"/>
      <w:instrText xml:space="preserve"> PAGE </w:instrText>
      <w:fldChar w:fldCharType="separate"/>
      <w:fldChar w:fldCharType="end"/>
    </w:r>
    <w:r>
      <w:rPr>
        <w:color w:val="5E7685"/>
        <w:sz w:val="16"/>
      </w:rPr>
      <w:t xml:space="preserve"> de </w:t>
    </w:r>
    <w:r>
      <w:rPr>
        <w:color w:val="5E7685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cs="Inter" w:eastAsia="Inter"/>
      <w:color w:val="0F2A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pBdr>
        <w:bottom w:val="single" w:sz="8" w:space="4" w:color="86BEA9"/>
      </w:pBdr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0B4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0F5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2F74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