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486535"/>
                <wp:effectExtent b="0" l="0" r="0" t="0"/>
                <wp:wrapNone/>
                <wp:docPr id="54"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7" name="Shape 7"/>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9" name="Shape 9"/>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486535"/>
                <wp:effectExtent b="0" l="0" r="0" t="0"/>
                <wp:wrapNone/>
                <wp:docPr id="5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Mar>
              <w:top w:w="75.0" w:type="dxa"/>
              <w:bottom w:w="75.0" w:type="dxa"/>
            </w:tcMa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blHeader w:val="0"/>
        </w:trPr>
        <w:tc>
          <w:tcPr>
            <w:shd w:fill="d9e2f3" w:val="clear"/>
            <w:tcMar>
              <w:top w:w="75.0" w:type="dxa"/>
              <w:bottom w:w="75.0" w:type="dxa"/>
            </w:tcM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blHeader w:val="0"/>
        </w:trPr>
        <w:tc>
          <w:tcPr>
            <w:tcMar>
              <w:top w:w="75.0" w:type="dxa"/>
              <w:bottom w:w="75.0" w:type="dxa"/>
            </w:tcMa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tcBorders>
              <w:bottom w:color="000000" w:space="0" w:sz="4" w:val="single"/>
            </w:tcBorders>
            <w:tcMar>
              <w:top w:w="75.0" w:type="dxa"/>
              <w:bottom w:w="75.0" w:type="dxa"/>
            </w:tcMar>
            <w:vAlign w:val="center"/>
          </w:tcPr>
          <w:p w:rsidR="00000000" w:rsidDel="00000000" w:rsidP="00000000" w:rsidRDefault="00000000" w:rsidRPr="00000000" w14:paraId="0000000D">
            <w:pPr>
              <w:spacing w:after="60" w:before="0" w:line="252.00000000000003" w:lineRule="auto"/>
              <w:jc w:val="left"/>
              <w:rPr/>
            </w:pPr>
            <w:r w:rsidDel="00000000" w:rsidR="00000000" w:rsidRPr="00000000">
              <w:rPr>
                <w:rFonts w:ascii="Arial" w:cs="Arial" w:eastAsia="Arial" w:hAnsi="Arial"/>
                <w:sz w:val="21"/>
                <w:szCs w:val="21"/>
                <w:rtl w:val="0"/>
              </w:rPr>
              <w:t xml:space="preserve">Felipe Alejandro Rivera Martin</w:t>
            </w:r>
            <w:r w:rsidDel="00000000" w:rsidR="00000000" w:rsidRPr="00000000">
              <w:rPr>
                <w:rtl w:val="0"/>
              </w:rPr>
            </w:r>
          </w:p>
        </w:tc>
      </w:tr>
      <w:tr>
        <w:trPr>
          <w:cantSplit w:val="0"/>
          <w:tblHeader w:val="0"/>
        </w:trPr>
        <w:tc>
          <w:tcPr>
            <w:tcBorders>
              <w:right w:color="000000" w:space="0" w:sz="4" w:val="single"/>
            </w:tcBorders>
            <w:tcMar>
              <w:top w:w="75.0" w:type="dxa"/>
              <w:bottom w:w="75.0" w:type="dxa"/>
            </w:tcMa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tcBorders>
              <w:top w:color="000000" w:space="0" w:sz="4" w:val="single"/>
              <w:left w:color="000000" w:space="0" w:sz="4" w:val="single"/>
              <w:bottom w:color="000000" w:space="0" w:sz="4" w:val="single"/>
              <w:right w:color="000000" w:space="0" w:sz="4" w:val="single"/>
            </w:tcBorders>
            <w:tcMar>
              <w:top w:w="75.0" w:type="dxa"/>
              <w:bottom w:w="75.0" w:type="dxa"/>
            </w:tcM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color w:val="1f3864"/>
                <w:rtl w:val="0"/>
              </w:rPr>
              <w:t xml:space="preserve">20.498.598-7</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tcBorders>
              <w:top w:color="000000" w:space="0" w:sz="4" w:val="single"/>
            </w:tcBorders>
            <w:tcMar>
              <w:top w:w="75.0" w:type="dxa"/>
              <w:bottom w:w="75.0" w:type="dxa"/>
            </w:tcMar>
            <w:vAlign w:val="center"/>
          </w:tcPr>
          <w:p w:rsidR="00000000" w:rsidDel="00000000" w:rsidP="00000000" w:rsidRDefault="00000000" w:rsidRPr="00000000" w14:paraId="00000011">
            <w:pPr>
              <w:spacing w:after="60" w:before="0" w:line="252.00000000000003" w:lineRule="auto"/>
              <w:jc w:val="left"/>
              <w:rPr/>
            </w:pPr>
            <w:r w:rsidDel="00000000" w:rsidR="00000000" w:rsidRPr="00000000">
              <w:rPr>
                <w:rFonts w:ascii="Arial" w:cs="Arial" w:eastAsia="Arial" w:hAnsi="Arial"/>
                <w:b w:val="0"/>
                <w:bCs w:val="0"/>
                <w:i w:val="0"/>
                <w:iCs w:val="0"/>
                <w:color w:val="000000"/>
                <w:sz w:val="21"/>
                <w:szCs w:val="21"/>
                <w:rtl w:val="0"/>
              </w:rPr>
              <w:t xml:space="preserve">Ingeniería en Informática</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tcMar>
              <w:top w:w="75.0" w:type="dxa"/>
              <w:bottom w:w="75.0" w:type="dxa"/>
            </w:tcMar>
            <w:vAlign w:val="center"/>
          </w:tcPr>
          <w:p w:rsidR="00000000" w:rsidDel="00000000" w:rsidP="00000000" w:rsidRDefault="00000000" w:rsidRPr="00000000" w14:paraId="00000013">
            <w:pPr>
              <w:spacing w:after="60" w:before="0" w:line="252.00000000000003" w:lineRule="auto"/>
              <w:jc w:val="left"/>
              <w:rPr/>
            </w:pPr>
            <w:r w:rsidDel="00000000" w:rsidR="00000000" w:rsidRPr="00000000">
              <w:rPr>
                <w:rFonts w:ascii="Arial" w:cs="Arial" w:eastAsia="Arial" w:hAnsi="Arial"/>
                <w:b w:val="0"/>
                <w:bCs w:val="0"/>
                <w:i w:val="0"/>
                <w:iCs w:val="0"/>
                <w:color w:val="000000"/>
                <w:sz w:val="21"/>
                <w:szCs w:val="21"/>
                <w:rtl w:val="0"/>
              </w:rPr>
              <w:t xml:space="preserve">Antonio Varas</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Mar>
              <w:top w:w="75.0" w:type="dxa"/>
              <w:bottom w:w="75.0" w:type="dxa"/>
            </w:tcMa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blHeader w:val="0"/>
        </w:trPr>
        <w:tc>
          <w:tcPr>
            <w:shd w:fill="d9e2f3" w:val="clear"/>
            <w:tcMar>
              <w:top w:w="75.0" w:type="dxa"/>
              <w:bottom w:w="75.0" w:type="dxa"/>
            </w:tcM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blHeader w:val="0"/>
        </w:trPr>
        <w:tc>
          <w:tcPr>
            <w:tcMar>
              <w:top w:w="75.0" w:type="dxa"/>
              <w:bottom w:w="75.0" w:type="dxa"/>
            </w:tcMa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tcMar>
              <w:top w:w="75.0" w:type="dxa"/>
              <w:bottom w:w="75.0" w:type="dxa"/>
            </w:tcMar>
            <w:vAlign w:val="center"/>
          </w:tcPr>
          <w:p w:rsidR="00000000" w:rsidDel="00000000" w:rsidP="00000000" w:rsidRDefault="00000000" w:rsidRPr="00000000" w14:paraId="00000019">
            <w:pPr>
              <w:spacing w:after="40" w:before="0" w:line="252.00000000000003" w:lineRule="auto"/>
              <w:jc w:val="left"/>
              <w:rPr/>
            </w:pPr>
            <w:r w:rsidDel="00000000" w:rsidR="00000000" w:rsidRPr="00000000">
              <w:rPr>
                <w:rFonts w:ascii="Arial" w:cs="Arial" w:eastAsia="Arial" w:hAnsi="Arial"/>
                <w:b w:val="0"/>
                <w:bCs w:val="0"/>
                <w:i w:val="0"/>
                <w:iCs w:val="0"/>
                <w:color w:val="000000"/>
                <w:sz w:val="20"/>
                <w:szCs w:val="20"/>
                <w:rtl w:val="0"/>
              </w:rPr>
              <w:t xml:space="preserve">Sistema de Análisis y Anticipación de Demanda de Urgencia en Salud Mental para la Región Metropolitana</w:t>
              <w:br w:type="textWrapping"/>
              <w:t xml:space="preserve">(Nombre de la plataforma:</w:t>
            </w:r>
            <w:r w:rsidDel="00000000" w:rsidR="00000000" w:rsidRPr="00000000">
              <w:rPr>
                <w:rFonts w:ascii="Arial" w:cs="Arial" w:eastAsia="Arial" w:hAnsi="Arial"/>
                <w:sz w:val="20"/>
                <w:szCs w:val="20"/>
                <w:rtl w:val="0"/>
              </w:rPr>
              <w:t xml:space="preserve"> SAAD</w:t>
            </w:r>
            <w:r w:rsidDel="00000000" w:rsidR="00000000" w:rsidRPr="00000000">
              <w:rPr>
                <w:rFonts w:ascii="Arial" w:cs="Arial" w:eastAsia="Arial" w:hAnsi="Arial"/>
                <w:b w:val="0"/>
                <w:bCs w:val="0"/>
                <w:i w:val="0"/>
                <w:iCs w:val="0"/>
                <w:color w:val="000000"/>
                <w:sz w:val="20"/>
                <w:szCs w:val="20"/>
                <w:rtl w:val="0"/>
              </w:rPr>
              <w:t xml:space="preserve">)</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tcMar>
              <w:top w:w="75.0" w:type="dxa"/>
              <w:bottom w:w="75.0" w:type="dxa"/>
            </w:tcMar>
            <w:vAlign w:val="center"/>
          </w:tcPr>
          <w:p w:rsidR="00000000" w:rsidDel="00000000" w:rsidP="00000000" w:rsidRDefault="00000000" w:rsidRPr="00000000" w14:paraId="0000001B">
            <w:pPr>
              <w:spacing w:after="40" w:before="0" w:line="252.00000000000003" w:lineRule="auto"/>
              <w:jc w:val="left"/>
              <w:rPr/>
            </w:pPr>
            <w:r w:rsidDel="00000000" w:rsidR="00000000" w:rsidRPr="00000000">
              <w:rPr>
                <w:rFonts w:ascii="Arial" w:cs="Arial" w:eastAsia="Arial" w:hAnsi="Arial"/>
                <w:b w:val="0"/>
                <w:bCs w:val="0"/>
                <w:i w:val="0"/>
                <w:iCs w:val="0"/>
                <w:color w:val="000000"/>
                <w:sz w:val="20"/>
                <w:szCs w:val="20"/>
                <w:rtl w:val="0"/>
              </w:rPr>
              <w:t xml:space="preserve">Desarrollo de software; ingeniería y análisis de datos; modelamiento predictivo; análisis geoespacial; bases de datos; gestión de proyectos TI; calidad y gobernanza de datos.</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1E">
            <w:pPr>
              <w:numPr>
                <w:ilvl w:val="0"/>
                <w:numId w:val="2"/>
              </w:numPr>
              <w:spacing w:after="40" w:before="0" w:line="246.99999999999994" w:lineRule="auto"/>
              <w:ind w:left="540" w:hanging="260"/>
              <w:rPr/>
            </w:pPr>
            <w:r w:rsidDel="00000000" w:rsidR="00000000" w:rsidRPr="00000000">
              <w:rPr>
                <w:rFonts w:ascii="Arial" w:cs="Arial" w:eastAsia="Arial" w:hAnsi="Arial"/>
                <w:b w:val="0"/>
                <w:bCs w:val="0"/>
                <w:i w:val="0"/>
                <w:iCs w:val="0"/>
                <w:color w:val="000000"/>
                <w:sz w:val="19"/>
                <w:szCs w:val="19"/>
                <w:rtl w:val="0"/>
              </w:rPr>
              <w:t xml:space="preserve">Levantar, analizar y priorizar requerimientos de usuarios y actores del dominio.</w:t>
            </w:r>
            <w:r w:rsidDel="00000000" w:rsidR="00000000" w:rsidRPr="00000000">
              <w:rPr>
                <w:rtl w:val="0"/>
              </w:rPr>
            </w:r>
          </w:p>
          <w:p w:rsidR="00000000" w:rsidDel="00000000" w:rsidP="00000000" w:rsidRDefault="00000000" w:rsidRPr="00000000" w14:paraId="0000001F">
            <w:pPr>
              <w:numPr>
                <w:ilvl w:val="0"/>
                <w:numId w:val="2"/>
              </w:numPr>
              <w:spacing w:after="40" w:before="0" w:line="246.99999999999994" w:lineRule="auto"/>
              <w:ind w:left="540" w:hanging="260"/>
              <w:rPr/>
            </w:pPr>
            <w:r w:rsidDel="00000000" w:rsidR="00000000" w:rsidRPr="00000000">
              <w:rPr>
                <w:rFonts w:ascii="Arial" w:cs="Arial" w:eastAsia="Arial" w:hAnsi="Arial"/>
                <w:b w:val="0"/>
                <w:bCs w:val="0"/>
                <w:i w:val="0"/>
                <w:iCs w:val="0"/>
                <w:color w:val="000000"/>
                <w:sz w:val="19"/>
                <w:szCs w:val="19"/>
                <w:rtl w:val="0"/>
              </w:rPr>
              <w:t xml:space="preserve">Diseñar e implementar una arquitectura de software, un modelo de datos y pipelines reproducibles.</w:t>
            </w:r>
            <w:r w:rsidDel="00000000" w:rsidR="00000000" w:rsidRPr="00000000">
              <w:rPr>
                <w:rtl w:val="0"/>
              </w:rPr>
            </w:r>
          </w:p>
          <w:p w:rsidR="00000000" w:rsidDel="00000000" w:rsidP="00000000" w:rsidRDefault="00000000" w:rsidRPr="00000000" w14:paraId="00000020">
            <w:pPr>
              <w:numPr>
                <w:ilvl w:val="0"/>
                <w:numId w:val="2"/>
              </w:numPr>
              <w:spacing w:after="40" w:before="0" w:line="246.99999999999994" w:lineRule="auto"/>
              <w:ind w:left="540" w:hanging="260"/>
              <w:rPr/>
            </w:pPr>
            <w:r w:rsidDel="00000000" w:rsidR="00000000" w:rsidRPr="00000000">
              <w:rPr>
                <w:rFonts w:ascii="Arial" w:cs="Arial" w:eastAsia="Arial" w:hAnsi="Arial"/>
                <w:b w:val="0"/>
                <w:bCs w:val="0"/>
                <w:i w:val="0"/>
                <w:iCs w:val="0"/>
                <w:color w:val="000000"/>
                <w:sz w:val="19"/>
                <w:szCs w:val="19"/>
                <w:rtl w:val="0"/>
              </w:rPr>
              <w:t xml:space="preserve">Integrar, depurar, analizar y visualizar datos sanitarios y territoriales.</w:t>
            </w:r>
            <w:r w:rsidDel="00000000" w:rsidR="00000000" w:rsidRPr="00000000">
              <w:rPr>
                <w:rtl w:val="0"/>
              </w:rPr>
            </w:r>
          </w:p>
          <w:p w:rsidR="00000000" w:rsidDel="00000000" w:rsidP="00000000" w:rsidRDefault="00000000" w:rsidRPr="00000000" w14:paraId="00000021">
            <w:pPr>
              <w:numPr>
                <w:ilvl w:val="0"/>
                <w:numId w:val="2"/>
              </w:numPr>
              <w:spacing w:after="40" w:before="0" w:line="246.99999999999994" w:lineRule="auto"/>
              <w:ind w:left="540" w:hanging="260"/>
              <w:rPr/>
            </w:pPr>
            <w:r w:rsidDel="00000000" w:rsidR="00000000" w:rsidRPr="00000000">
              <w:rPr>
                <w:rFonts w:ascii="Arial" w:cs="Arial" w:eastAsia="Arial" w:hAnsi="Arial"/>
                <w:b w:val="0"/>
                <w:bCs w:val="0"/>
                <w:i w:val="0"/>
                <w:iCs w:val="0"/>
                <w:color w:val="000000"/>
                <w:sz w:val="19"/>
                <w:szCs w:val="19"/>
                <w:rtl w:val="0"/>
              </w:rPr>
              <w:t xml:space="preserve">Construir y evaluar modelos predictivos con métricas, backtesting y baselines explícitos.</w:t>
            </w:r>
            <w:r w:rsidDel="00000000" w:rsidR="00000000" w:rsidRPr="00000000">
              <w:rPr>
                <w:rtl w:val="0"/>
              </w:rPr>
            </w:r>
          </w:p>
          <w:p w:rsidR="00000000" w:rsidDel="00000000" w:rsidP="00000000" w:rsidRDefault="00000000" w:rsidRPr="00000000" w14:paraId="00000022">
            <w:pPr>
              <w:numPr>
                <w:ilvl w:val="0"/>
                <w:numId w:val="2"/>
              </w:numPr>
              <w:spacing w:after="40" w:before="0" w:line="246.99999999999994" w:lineRule="auto"/>
              <w:ind w:left="540" w:hanging="260"/>
              <w:rPr/>
            </w:pPr>
            <w:r w:rsidDel="00000000" w:rsidR="00000000" w:rsidRPr="00000000">
              <w:rPr>
                <w:rFonts w:ascii="Arial" w:cs="Arial" w:eastAsia="Arial" w:hAnsi="Arial"/>
                <w:b w:val="0"/>
                <w:bCs w:val="0"/>
                <w:i w:val="0"/>
                <w:iCs w:val="0"/>
                <w:color w:val="000000"/>
                <w:sz w:val="19"/>
                <w:szCs w:val="19"/>
                <w:rtl w:val="0"/>
              </w:rPr>
              <w:t xml:space="preserve">Aplicar control de versiones, pruebas, documentación, trazabilidad, seguridad y gestión ágil del proyecto.</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Mar>
              <w:top w:w="75.0" w:type="dxa"/>
              <w:bottom w:w="75.0" w:type="dxa"/>
            </w:tcMa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blHeader w:val="0"/>
        </w:trPr>
        <w:tc>
          <w:tcPr>
            <w:shd w:fill="d9e2f3" w:val="clear"/>
            <w:tcMar>
              <w:top w:w="75.0" w:type="dxa"/>
              <w:bottom w:w="75.0" w:type="dxa"/>
            </w:tcM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blHeader w:val="0"/>
        </w:trPr>
        <w:tc>
          <w:tcPr>
            <w:tcMar>
              <w:top w:w="75.0" w:type="dxa"/>
              <w:bottom w:w="75.0" w:type="dxa"/>
            </w:tcMa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tcMar>
              <w:top w:w="75.0" w:type="dxa"/>
              <w:bottom w:w="75.0" w:type="dxa"/>
            </w:tcMar>
            <w:vAlign w:val="center"/>
          </w:tcPr>
          <w:p w:rsidR="00000000" w:rsidDel="00000000" w:rsidP="00000000" w:rsidRDefault="00000000" w:rsidRPr="00000000" w14:paraId="00000029">
            <w:pPr>
              <w:spacing w:after="40" w:before="0" w:line="252.00000000000003" w:lineRule="auto"/>
              <w:jc w:val="left"/>
              <w:rPr/>
            </w:pPr>
            <w:r w:rsidDel="00000000" w:rsidR="00000000" w:rsidRPr="00000000">
              <w:rPr>
                <w:rFonts w:ascii="Arial" w:cs="Arial" w:eastAsia="Arial" w:hAnsi="Arial"/>
                <w:b w:val="0"/>
                <w:bCs w:val="0"/>
                <w:i w:val="0"/>
                <w:iCs w:val="0"/>
                <w:color w:val="000000"/>
                <w:sz w:val="19"/>
                <w:szCs w:val="19"/>
                <w:rtl w:val="0"/>
              </w:rPr>
              <w:t xml:space="preserve">La red pública de urgencia responde a aumentos de demanda en salud mental principalmente cuando la presión ya se ha producido. Aunque existen datos oficiales, estos se publican en bases codificadas y separadas, lo que dificulta convertirlos en evidencia oportuna para la planificación. Además, la oferta de establecimientos, la demanda observada y las condiciones territoriales no se analizan de forma integrada, por lo que las comunas que combinan alta presión proyectada con baja accesibilidad efectiva permanecen poco visibles. La entrevista con la psicóloga Belén Guzmán confirmó la importancia de contar con mejor información para responder a crisis, pero también permitió reconocer que una plataforma de cupos en tiempo real exigiría captura masiva, estandarización y coordinación entre múltiples instituciones, probablemente con intervención estatal. Por ello, el equipo acotó el proyecto a un instrumento analítico realizable con datos públicos, capaz de anticipar demanda, territorializar brechas y aportar evidencia sobre hospitalización psiquiátrica.</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tcMar>
              <w:top w:w="75.0" w:type="dxa"/>
              <w:bottom w:w="75.0" w:type="dxa"/>
            </w:tcMar>
            <w:vAlign w:val="center"/>
          </w:tcPr>
          <w:p w:rsidR="00000000" w:rsidDel="00000000" w:rsidP="00000000" w:rsidRDefault="00000000" w:rsidRPr="00000000" w14:paraId="0000002B">
            <w:pPr>
              <w:spacing w:after="40" w:before="0" w:line="252.00000000000003" w:lineRule="auto"/>
              <w:jc w:val="left"/>
              <w:rPr/>
            </w:pPr>
            <w:r w:rsidDel="00000000" w:rsidR="00000000" w:rsidRPr="00000000">
              <w:rPr>
                <w:rFonts w:ascii="Arial" w:cs="Arial" w:eastAsia="Arial" w:hAnsi="Arial"/>
                <w:sz w:val="19"/>
                <w:szCs w:val="19"/>
                <w:rtl w:val="0"/>
              </w:rPr>
              <w:t xml:space="preserve">Se desarrollará una plataforma analítica web para la Región Metropolitana orientada a caracterizar, proyectar y territorializar la presión sobre la red pública de urgencia en salud mental, integrando registros oficiales del DEIS/MINSAL con capas de información contextual, sociodemográfica y territorial auxiliar. </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tcMar>
              <w:top w:w="75.0" w:type="dxa"/>
              <w:bottom w:w="75.0" w:type="dxa"/>
            </w:tcMar>
            <w:vAlign w:val="center"/>
          </w:tcPr>
          <w:p w:rsidR="00000000" w:rsidDel="00000000" w:rsidP="00000000" w:rsidRDefault="00000000" w:rsidRPr="00000000" w14:paraId="0000002D">
            <w:pPr>
              <w:spacing w:after="40" w:before="0" w:line="252.00000000000003" w:lineRule="auto"/>
              <w:jc w:val="left"/>
              <w:rPr/>
            </w:pPr>
            <w:r w:rsidDel="00000000" w:rsidR="00000000" w:rsidRPr="00000000">
              <w:rPr>
                <w:rFonts w:ascii="Arial" w:cs="Arial" w:eastAsia="Arial" w:hAnsi="Arial"/>
                <w:b w:val="0"/>
                <w:bCs w:val="0"/>
                <w:i w:val="0"/>
                <w:iCs w:val="0"/>
                <w:color w:val="000000"/>
                <w:sz w:val="19"/>
                <w:szCs w:val="19"/>
                <w:rtl w:val="0"/>
              </w:rPr>
              <w:t xml:space="preserve">El proyecto integra competencias centrales de Ingeniería en Informática: levantamiento de requerimientos, arquitectura y desarrollo web, programación, bases de datos, ingeniería de datos, analítica predictiva, integración de servicios geoespaciales, visualización, pruebas y documentación. También exige trazabilidad, auditoría de calidad, manejo responsable de datos y comunicación transparente de supuestos y limitaciones. La solución transforma datos reales en un producto funcional, reproducible y evaluable de punta a punta.</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tcMar>
              <w:top w:w="75.0" w:type="dxa"/>
              <w:bottom w:w="75.0" w:type="dxa"/>
            </w:tcMar>
            <w:vAlign w:val="center"/>
          </w:tcPr>
          <w:p w:rsidR="00000000" w:rsidDel="00000000" w:rsidP="00000000" w:rsidRDefault="00000000" w:rsidRPr="00000000" w14:paraId="0000002F">
            <w:pPr>
              <w:spacing w:after="40" w:before="0" w:line="252.00000000000003" w:lineRule="auto"/>
              <w:jc w:val="left"/>
              <w:rPr/>
            </w:pPr>
            <w:r w:rsidDel="00000000" w:rsidR="00000000" w:rsidRPr="00000000">
              <w:rPr>
                <w:rFonts w:ascii="Arial" w:cs="Arial" w:eastAsia="Arial" w:hAnsi="Arial"/>
                <w:sz w:val="19"/>
                <w:szCs w:val="19"/>
                <w:rtl w:val="0"/>
              </w:rPr>
              <w:t xml:space="preserve">Se relaciona directamente con mi interés profesional por desarrollarme en el área de Data Analytics, profundizando especialmente en el trabajo con bases de datos, análisis de información y generación de evidencia para apoyar la toma de decisiones. Durante la carrera, el área de bases de datos ha sido una de las que más me ha interesado, y busco proyectarla hacia un perfil profesional que integre SQL, Python, procesamiento y visualización de datos, automatización y desarrollo de soluciones analíticas. Este proyecto me permitirá fortalecer competencias en ingeniería y calidad de datos, análisis exploratorio, modelamiento predictivo, series de tiempo y construcción de productos basados en datos. Asimismo, me permitirá seguir desarrollando habilidades de programación, automatización, despliegue y gestión de infraestructura tecnológica, áreas complementarias que también considero relevantes para ampliar mi perfil profesional.</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tcMar>
              <w:top w:w="75.0" w:type="dxa"/>
              <w:bottom w:w="75.0" w:type="dxa"/>
            </w:tcMar>
            <w:vAlign w:val="center"/>
          </w:tcPr>
          <w:p w:rsidR="00000000" w:rsidDel="00000000" w:rsidP="00000000" w:rsidRDefault="00000000" w:rsidRPr="00000000" w14:paraId="00000031">
            <w:pPr>
              <w:spacing w:after="40" w:before="0" w:line="252.00000000000003" w:lineRule="auto"/>
              <w:jc w:val="left"/>
              <w:rPr/>
            </w:pPr>
            <w:r w:rsidDel="00000000" w:rsidR="00000000" w:rsidRPr="00000000">
              <w:rPr>
                <w:rFonts w:ascii="Arial" w:cs="Arial" w:eastAsia="Arial" w:hAnsi="Arial"/>
                <w:b w:val="0"/>
                <w:bCs w:val="0"/>
                <w:i w:val="0"/>
                <w:iCs w:val="0"/>
                <w:color w:val="000000"/>
                <w:sz w:val="19"/>
                <w:szCs w:val="19"/>
                <w:rtl w:val="0"/>
              </w:rPr>
              <w:t xml:space="preserve">El alcance es factible durante un semestre de 18 semanas porque se limita a la Región Metropolitana, utiliza dos bases DEIS/MINSAL ya disponibles, trabaja con datos agregados o disociados y no depende de obtener fichas clínicas ni cupos institucionales en tiempo real. El cliente piloto será un profesional accesible de salud mental</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b w:val="0"/>
                <w:bCs w:val="0"/>
                <w:i w:val="0"/>
                <w:iCs w:val="0"/>
                <w:color w:val="000000"/>
                <w:sz w:val="19"/>
                <w:szCs w:val="19"/>
                <w:rtl w:val="0"/>
              </w:rPr>
              <w:t xml:space="preserve">Los principales riesgos son subregistro y diferencias de calidad entre establecimientos, la serie de urgencias disponible solo desde 2021, tramos etarios amplios, granularidades no enlazables entre urgencias y egresos, y complejidad del cálculo geoespacial. </w:t>
            </w:r>
            <w:r w:rsidDel="00000000" w:rsidR="00000000" w:rsidRPr="00000000">
              <w:rPr>
                <w:rtl w:val="0"/>
              </w:rPr>
            </w:r>
          </w:p>
        </w:tc>
      </w:tr>
    </w:tbl>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Mar>
              <w:top w:w="75.0" w:type="dxa"/>
              <w:bottom w:w="75.0" w:type="dxa"/>
            </w:tcMa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blHeader w:val="0"/>
        </w:trPr>
        <w:tc>
          <w:tcPr>
            <w:shd w:fill="d9e2f3" w:val="clear"/>
            <w:tcMar>
              <w:top w:w="75.0" w:type="dxa"/>
              <w:bottom w:w="75.0" w:type="dxa"/>
            </w:tcM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blHeader w:val="0"/>
        </w:trPr>
        <w:tc>
          <w:tcPr>
            <w:tcMar>
              <w:top w:w="75.0" w:type="dxa"/>
              <w:bottom w:w="75.0" w:type="dxa"/>
            </w:tcMa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tcMar>
              <w:top w:w="75.0" w:type="dxa"/>
              <w:bottom w:w="75.0" w:type="dxa"/>
            </w:tcMar>
            <w:vAlign w:val="center"/>
          </w:tcPr>
          <w:p w:rsidR="00000000" w:rsidDel="00000000" w:rsidP="00000000" w:rsidRDefault="00000000" w:rsidRPr="00000000" w14:paraId="00000038">
            <w:pPr>
              <w:spacing w:after="40" w:before="0" w:line="252.00000000000003" w:lineRule="auto"/>
              <w:jc w:val="left"/>
              <w:rPr/>
            </w:pPr>
            <w:r w:rsidDel="00000000" w:rsidR="00000000" w:rsidRPr="00000000">
              <w:rPr>
                <w:rFonts w:ascii="Arial" w:cs="Arial" w:eastAsia="Arial" w:hAnsi="Arial"/>
                <w:b w:val="0"/>
                <w:bCs w:val="0"/>
                <w:i w:val="0"/>
                <w:iCs w:val="0"/>
                <w:color w:val="000000"/>
                <w:sz w:val="20"/>
                <w:szCs w:val="20"/>
                <w:rtl w:val="0"/>
              </w:rPr>
              <w:t xml:space="preserve">Desarrollar y validar una plataforma analítica web para la Región Metropolitana que integre datos oficiales de urgencias y egresos hospitalarios en salud mental, anticipe la demanda a corto plazo, identifique brechas territoriales de accesibilidad y caracterice los factores asociados a la duración de hospitalización, como apoyo a la planificación de la red.</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tcMar>
              <w:top w:w="75.0" w:type="dxa"/>
              <w:bottom w:w="75.0" w:type="dxa"/>
            </w:tcMar>
            <w:vAlign w:val="center"/>
          </w:tcPr>
          <w:p w:rsidR="00000000" w:rsidDel="00000000" w:rsidP="00000000" w:rsidRDefault="00000000" w:rsidRPr="00000000" w14:paraId="0000003A">
            <w:pPr>
              <w:numPr>
                <w:ilvl w:val="0"/>
                <w:numId w:val="3"/>
              </w:numPr>
              <w:spacing w:after="40" w:before="0" w:line="246.99999999999994" w:lineRule="auto"/>
              <w:ind w:left="540" w:hanging="260"/>
              <w:rPr/>
            </w:pPr>
            <w:r w:rsidDel="00000000" w:rsidR="00000000" w:rsidRPr="00000000">
              <w:rPr>
                <w:rFonts w:ascii="Arial" w:cs="Arial" w:eastAsia="Arial" w:hAnsi="Arial"/>
                <w:b w:val="0"/>
                <w:bCs w:val="0"/>
                <w:i w:val="0"/>
                <w:iCs w:val="0"/>
                <w:color w:val="000000"/>
                <w:sz w:val="19"/>
                <w:szCs w:val="19"/>
                <w:rtl w:val="0"/>
              </w:rPr>
              <w:t xml:space="preserve">Levantar y validar requerimientos, usuarios, decisiones de uso, criterios de éxito y restricciones del proyecto con la docente y un cliente piloto del dominio.</w:t>
            </w:r>
            <w:r w:rsidDel="00000000" w:rsidR="00000000" w:rsidRPr="00000000">
              <w:rPr>
                <w:rtl w:val="0"/>
              </w:rPr>
            </w:r>
          </w:p>
          <w:p w:rsidR="00000000" w:rsidDel="00000000" w:rsidP="00000000" w:rsidRDefault="00000000" w:rsidRPr="00000000" w14:paraId="0000003B">
            <w:pPr>
              <w:numPr>
                <w:ilvl w:val="0"/>
                <w:numId w:val="3"/>
              </w:numPr>
              <w:spacing w:after="40" w:before="0" w:line="246.99999999999994" w:lineRule="auto"/>
              <w:ind w:left="540" w:hanging="260"/>
              <w:rPr/>
            </w:pPr>
            <w:r w:rsidDel="00000000" w:rsidR="00000000" w:rsidRPr="00000000">
              <w:rPr>
                <w:rFonts w:ascii="Arial" w:cs="Arial" w:eastAsia="Arial" w:hAnsi="Arial"/>
                <w:b w:val="0"/>
                <w:bCs w:val="0"/>
                <w:i w:val="0"/>
                <w:iCs w:val="0"/>
                <w:color w:val="000000"/>
                <w:sz w:val="19"/>
                <w:szCs w:val="19"/>
                <w:rtl w:val="0"/>
              </w:rPr>
              <w:t xml:space="preserve">Auditar, limpiar, documentar e integrar las dos bases DEIS/MINSAL, junto con los insumos geoespaciales y territoriales auxiliares.</w:t>
            </w:r>
            <w:r w:rsidDel="00000000" w:rsidR="00000000" w:rsidRPr="00000000">
              <w:rPr>
                <w:rtl w:val="0"/>
              </w:rPr>
            </w:r>
          </w:p>
          <w:p w:rsidR="00000000" w:rsidDel="00000000" w:rsidP="00000000" w:rsidRDefault="00000000" w:rsidRPr="00000000" w14:paraId="0000003C">
            <w:pPr>
              <w:numPr>
                <w:ilvl w:val="0"/>
                <w:numId w:val="3"/>
              </w:numPr>
              <w:spacing w:after="40" w:before="0" w:line="246.99999999999994" w:lineRule="auto"/>
              <w:ind w:left="540" w:hanging="260"/>
              <w:rPr/>
            </w:pPr>
            <w:r w:rsidDel="00000000" w:rsidR="00000000" w:rsidRPr="00000000">
              <w:rPr>
                <w:rFonts w:ascii="Arial" w:cs="Arial" w:eastAsia="Arial" w:hAnsi="Arial"/>
                <w:b w:val="0"/>
                <w:bCs w:val="0"/>
                <w:i w:val="0"/>
                <w:iCs w:val="0"/>
                <w:color w:val="000000"/>
                <w:sz w:val="19"/>
                <w:szCs w:val="19"/>
                <w:rtl w:val="0"/>
              </w:rPr>
              <w:t xml:space="preserve">Construir y evaluar un modelo de proyección de demanda de urgencia en salud mental a 4–8 semanas</w:t>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03D">
            <w:pPr>
              <w:numPr>
                <w:ilvl w:val="0"/>
                <w:numId w:val="3"/>
              </w:numPr>
              <w:spacing w:after="40" w:before="0" w:line="246.99999999999994" w:lineRule="auto"/>
              <w:ind w:left="540" w:hanging="260"/>
              <w:rPr/>
            </w:pPr>
            <w:r w:rsidDel="00000000" w:rsidR="00000000" w:rsidRPr="00000000">
              <w:rPr>
                <w:rFonts w:ascii="Arial" w:cs="Arial" w:eastAsia="Arial" w:hAnsi="Arial"/>
                <w:b w:val="0"/>
                <w:bCs w:val="0"/>
                <w:i w:val="0"/>
                <w:iCs w:val="0"/>
                <w:color w:val="000000"/>
                <w:sz w:val="19"/>
                <w:szCs w:val="19"/>
                <w:rtl w:val="0"/>
              </w:rPr>
              <w:t xml:space="preserve">Implementar una capa geoespacial de accesibilidad mediante georreferenciación, isócronas OSM/GTFS y estimación de cobertura poblacional y vulnerabilidad por comuna.</w:t>
            </w:r>
            <w:r w:rsidDel="00000000" w:rsidR="00000000" w:rsidRPr="00000000">
              <w:rPr>
                <w:rtl w:val="0"/>
              </w:rPr>
            </w:r>
          </w:p>
          <w:p w:rsidR="00000000" w:rsidDel="00000000" w:rsidP="00000000" w:rsidRDefault="00000000" w:rsidRPr="00000000" w14:paraId="0000003E">
            <w:pPr>
              <w:numPr>
                <w:ilvl w:val="0"/>
                <w:numId w:val="3"/>
              </w:numPr>
              <w:spacing w:after="40" w:before="0" w:line="246.99999999999994" w:lineRule="auto"/>
              <w:ind w:left="540" w:hanging="260"/>
              <w:rPr/>
            </w:pPr>
            <w:r w:rsidDel="00000000" w:rsidR="00000000" w:rsidRPr="00000000">
              <w:rPr>
                <w:rFonts w:ascii="Arial" w:cs="Arial" w:eastAsia="Arial" w:hAnsi="Arial"/>
                <w:sz w:val="19"/>
                <w:szCs w:val="19"/>
                <w:rtl w:val="0"/>
              </w:rPr>
              <w:t xml:space="preserve">Analizar los determinantes de la duración de estadía en egresos con diagnósticos F00–F99 y examinar diferencias asociadas a sexo, previsión y pertenencia al SNSS, complementando la interpretación con indicadores oficiales de salud mental desagregados por sexo.</w:t>
            </w:r>
            <w:r w:rsidDel="00000000" w:rsidR="00000000" w:rsidRPr="00000000">
              <w:rPr>
                <w:rtl w:val="0"/>
              </w:rPr>
            </w:r>
          </w:p>
          <w:p w:rsidR="00000000" w:rsidDel="00000000" w:rsidP="00000000" w:rsidRDefault="00000000" w:rsidRPr="00000000" w14:paraId="0000003F">
            <w:pPr>
              <w:numPr>
                <w:ilvl w:val="0"/>
                <w:numId w:val="3"/>
              </w:numPr>
              <w:spacing w:after="40" w:before="0" w:line="246.99999999999994" w:lineRule="auto"/>
              <w:ind w:left="540" w:hanging="260"/>
              <w:rPr/>
            </w:pPr>
            <w:r w:rsidDel="00000000" w:rsidR="00000000" w:rsidRPr="00000000">
              <w:rPr>
                <w:rFonts w:ascii="Arial" w:cs="Arial" w:eastAsia="Arial" w:hAnsi="Arial"/>
                <w:b w:val="0"/>
                <w:bCs w:val="0"/>
                <w:i w:val="0"/>
                <w:iCs w:val="0"/>
                <w:color w:val="000000"/>
                <w:sz w:val="19"/>
                <w:szCs w:val="19"/>
                <w:rtl w:val="0"/>
              </w:rPr>
              <w:t xml:space="preserve">Integrar los resultados en una plataforma web, verificarla mediante pruebas técnicas y validar su utilidad y comprensión con usuarios, documentando supuestos, limitaciones y mejoras futuras.</w:t>
            </w: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Mar>
              <w:top w:w="75.0" w:type="dxa"/>
              <w:bottom w:w="75.0" w:type="dxa"/>
            </w:tcMa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blHeader w:val="0"/>
        </w:trPr>
        <w:tc>
          <w:tcPr>
            <w:shd w:fill="d9e2f3" w:val="clear"/>
            <w:tcMar>
              <w:top w:w="75.0" w:type="dxa"/>
              <w:bottom w:w="75.0" w:type="dxa"/>
            </w:tcM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Mar>
              <w:top w:w="75.0" w:type="dxa"/>
              <w:bottom w:w="75.0" w:type="dxa"/>
            </w:tcMar>
          </w:tcPr>
          <w:p w:rsidR="00000000" w:rsidDel="00000000" w:rsidP="00000000" w:rsidRDefault="00000000" w:rsidRPr="00000000" w14:paraId="0000004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blHeader w:val="0"/>
        </w:trPr>
        <w:tc>
          <w:tcPr>
            <w:tcMar>
              <w:top w:w="75.0" w:type="dxa"/>
              <w:bottom w:w="75.0" w:type="dxa"/>
            </w:tcMar>
            <w:vAlign w:val="center"/>
          </w:tcPr>
          <w:p w:rsidR="00000000" w:rsidDel="00000000" w:rsidP="00000000" w:rsidRDefault="00000000" w:rsidRPr="00000000" w14:paraId="00000046">
            <w:pPr>
              <w:spacing w:after="40" w:before="0" w:line="252.00000000000003" w:lineRule="auto"/>
              <w:jc w:val="left"/>
              <w:rPr/>
            </w:pPr>
            <w:r w:rsidDel="00000000" w:rsidR="00000000" w:rsidRPr="00000000">
              <w:rPr>
                <w:rFonts w:ascii="Arial" w:cs="Arial" w:eastAsia="Arial" w:hAnsi="Arial"/>
                <w:b w:val="0"/>
                <w:bCs w:val="0"/>
                <w:i w:val="0"/>
                <w:iCs w:val="0"/>
                <w:color w:val="000000"/>
                <w:sz w:val="20"/>
                <w:szCs w:val="20"/>
                <w:rtl w:val="0"/>
              </w:rPr>
              <w:t xml:space="preserve">Se utilizará una metodología ágil e iterativa, gestionada mediante Kanban en GitHub Projects y vinculada al repositorio del proyecto. El trabajo combinará prácticas de ingeniería de software con un ciclo de datos inspirado en CRISP-DM: comprensión del problema y de los datos; auditoría y preparación; modelamiento; evaluación; implementación; y validación.</w:t>
              <w:br w:type="textWrapping"/>
              <w:br w:type="textWrapping"/>
              <w:t xml:space="preserve">Etapas: (1) validar alcance, cliente piloto, requisitos y criterios de éxito; (2) perfilar y preparar las fuentes, definir arquitectura, modelo de datos y prototipo; (3) construir incrementalmente el pipeline, el modelo de demanda, la capa geoespacial, el análisis de hospitalización y la aplicación web; (4) integrar, probar, validar con usuarios, desplegar y documentar.</w:t>
              <w:br w:type="textWrapping"/>
              <w:br w:type="textWrapping"/>
              <w:t xml:space="preserve">El tablero contendrá backlog, responsables, prioridad, estado, criterios de aceptación y evidencias. La división nominal de tareas se realizará después de validar el alcance con la profesora.</w:t>
            </w: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blHeader w:val="0"/>
        </w:trPr>
        <w:tc>
          <w:tcPr>
            <w:tcMar>
              <w:top w:w="75.0" w:type="dxa"/>
              <w:bottom w:w="75.0" w:type="dxa"/>
            </w:tcMa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6. Evidencias </w:t>
            </w:r>
          </w:p>
        </w:tc>
      </w:tr>
      <w:tr>
        <w:trPr>
          <w:cantSplit w:val="0"/>
          <w:tblHeader w:val="0"/>
        </w:trPr>
        <w:tc>
          <w:tcPr>
            <w:shd w:fill="d9e2f3" w:val="clear"/>
            <w:tcMar>
              <w:top w:w="75.0" w:type="dxa"/>
              <w:bottom w:w="75.0" w:type="dxa"/>
            </w:tcMar>
            <w:vAlign w:val="center"/>
          </w:tcPr>
          <w:p w:rsidR="00000000" w:rsidDel="00000000" w:rsidP="00000000" w:rsidRDefault="00000000" w:rsidRPr="00000000" w14:paraId="0000004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60"/>
        <w:gridCol w:w="2180"/>
        <w:gridCol w:w="5500"/>
        <w:gridCol w:w="1400"/>
        <w:tblGridChange w:id="0">
          <w:tblGrid>
            <w:gridCol w:w="560"/>
            <w:gridCol w:w="2180"/>
            <w:gridCol w:w="5500"/>
            <w:gridCol w:w="1400"/>
          </w:tblGrid>
        </w:tblGridChange>
      </w:tblGrid>
      <w:tr>
        <w:trPr>
          <w:cantSplit w:val="0"/>
          <w:tblHeader w:val="1"/>
        </w:trPr>
        <w:tc>
          <w:tcPr>
            <w:shd w:fill="d9e2f3" w:val="clear"/>
            <w:tcMar>
              <w:top w:w="75.0" w:type="dxa"/>
              <w:bottom w:w="75.0" w:type="dxa"/>
            </w:tcMar>
            <w:vAlign w:val="center"/>
          </w:tcPr>
          <w:p w:rsidR="00000000" w:rsidDel="00000000" w:rsidP="00000000" w:rsidRDefault="00000000" w:rsidRPr="00000000" w14:paraId="0000004C">
            <w:pPr>
              <w:spacing w:after="40" w:before="0" w:line="252.00000000000003" w:lineRule="auto"/>
              <w:jc w:val="center"/>
              <w:rPr>
                <w:rFonts w:ascii="Calibri" w:cs="Calibri" w:eastAsia="Calibri" w:hAnsi="Calibri"/>
                <w:b w:val="1"/>
                <w:bCs w:val="1"/>
                <w:color w:val="1f3864"/>
                <w:sz w:val="18"/>
                <w:szCs w:val="18"/>
              </w:rPr>
            </w:pPr>
            <w:r w:rsidDel="00000000" w:rsidR="00000000" w:rsidRPr="00000000">
              <w:rPr>
                <w:rFonts w:ascii="Calibri" w:cs="Calibri" w:eastAsia="Calibri" w:hAnsi="Calibri"/>
                <w:b w:val="1"/>
                <w:bCs w:val="1"/>
                <w:color w:val="1f3864"/>
                <w:sz w:val="18"/>
                <w:szCs w:val="18"/>
                <w:rtl w:val="0"/>
              </w:rPr>
              <w:t xml:space="preserve">N°</w:t>
            </w:r>
          </w:p>
        </w:tc>
        <w:tc>
          <w:tcPr>
            <w:shd w:fill="d9e2f3" w:val="clear"/>
            <w:tcMar>
              <w:top w:w="75.0" w:type="dxa"/>
              <w:bottom w:w="75.0" w:type="dxa"/>
            </w:tcMar>
            <w:vAlign w:val="center"/>
          </w:tcPr>
          <w:p w:rsidR="00000000" w:rsidDel="00000000" w:rsidP="00000000" w:rsidRDefault="00000000" w:rsidRPr="00000000" w14:paraId="0000004D">
            <w:pPr>
              <w:spacing w:after="40" w:before="0" w:line="252.00000000000003" w:lineRule="auto"/>
              <w:jc w:val="center"/>
              <w:rPr>
                <w:rFonts w:ascii="Calibri" w:cs="Calibri" w:eastAsia="Calibri" w:hAnsi="Calibri"/>
                <w:b w:val="1"/>
                <w:bCs w:val="1"/>
                <w:color w:val="1f3864"/>
                <w:sz w:val="18"/>
                <w:szCs w:val="18"/>
              </w:rPr>
            </w:pPr>
            <w:r w:rsidDel="00000000" w:rsidR="00000000" w:rsidRPr="00000000">
              <w:rPr>
                <w:rFonts w:ascii="Calibri" w:cs="Calibri" w:eastAsia="Calibri" w:hAnsi="Calibri"/>
                <w:b w:val="1"/>
                <w:bCs w:val="1"/>
                <w:color w:val="1f3864"/>
                <w:sz w:val="18"/>
                <w:szCs w:val="18"/>
                <w:rtl w:val="0"/>
              </w:rPr>
              <w:t xml:space="preserve">Evidencia</w:t>
            </w:r>
          </w:p>
        </w:tc>
        <w:tc>
          <w:tcPr>
            <w:shd w:fill="d9e2f3" w:val="clear"/>
            <w:tcMar>
              <w:top w:w="75.0" w:type="dxa"/>
              <w:bottom w:w="75.0" w:type="dxa"/>
            </w:tcMar>
            <w:vAlign w:val="center"/>
          </w:tcPr>
          <w:p w:rsidR="00000000" w:rsidDel="00000000" w:rsidP="00000000" w:rsidRDefault="00000000" w:rsidRPr="00000000" w14:paraId="0000004E">
            <w:pPr>
              <w:spacing w:after="40" w:before="0" w:line="252.00000000000003" w:lineRule="auto"/>
              <w:jc w:val="center"/>
              <w:rPr>
                <w:rFonts w:ascii="Calibri" w:cs="Calibri" w:eastAsia="Calibri" w:hAnsi="Calibri"/>
                <w:b w:val="1"/>
                <w:bCs w:val="1"/>
                <w:color w:val="1f3864"/>
                <w:sz w:val="18"/>
                <w:szCs w:val="18"/>
              </w:rPr>
            </w:pPr>
            <w:r w:rsidDel="00000000" w:rsidR="00000000" w:rsidRPr="00000000">
              <w:rPr>
                <w:rFonts w:ascii="Calibri" w:cs="Calibri" w:eastAsia="Calibri" w:hAnsi="Calibri"/>
                <w:b w:val="1"/>
                <w:bCs w:val="1"/>
                <w:color w:val="1f3864"/>
                <w:sz w:val="18"/>
                <w:szCs w:val="18"/>
                <w:rtl w:val="0"/>
              </w:rPr>
              <w:t xml:space="preserve">Descripción</w:t>
            </w:r>
          </w:p>
        </w:tc>
        <w:tc>
          <w:tcPr>
            <w:shd w:fill="d9e2f3" w:val="clear"/>
            <w:tcMar>
              <w:top w:w="75.0" w:type="dxa"/>
              <w:bottom w:w="75.0" w:type="dxa"/>
            </w:tcMar>
            <w:vAlign w:val="center"/>
          </w:tcPr>
          <w:p w:rsidR="00000000" w:rsidDel="00000000" w:rsidP="00000000" w:rsidRDefault="00000000" w:rsidRPr="00000000" w14:paraId="0000004F">
            <w:pPr>
              <w:spacing w:after="40" w:before="0" w:line="252.00000000000003" w:lineRule="auto"/>
              <w:jc w:val="center"/>
              <w:rPr>
                <w:rFonts w:ascii="Calibri" w:cs="Calibri" w:eastAsia="Calibri" w:hAnsi="Calibri"/>
                <w:b w:val="1"/>
                <w:bCs w:val="1"/>
                <w:color w:val="1f3864"/>
                <w:sz w:val="18"/>
                <w:szCs w:val="18"/>
              </w:rPr>
            </w:pPr>
            <w:r w:rsidDel="00000000" w:rsidR="00000000" w:rsidRPr="00000000">
              <w:rPr>
                <w:rFonts w:ascii="Calibri" w:cs="Calibri" w:eastAsia="Calibri" w:hAnsi="Calibri"/>
                <w:b w:val="1"/>
                <w:bCs w:val="1"/>
                <w:color w:val="1f3864"/>
                <w:sz w:val="18"/>
                <w:szCs w:val="18"/>
                <w:rtl w:val="0"/>
              </w:rPr>
              <w:t xml:space="preserve">Se evalúa en</w:t>
            </w:r>
          </w:p>
        </w:tc>
      </w:tr>
      <w:tr>
        <w:trPr>
          <w:cantSplit w:val="1"/>
          <w:tblHeader w:val="0"/>
        </w:trPr>
        <w:tc>
          <w:tcPr>
            <w:tcMar>
              <w:top w:w="75.0" w:type="dxa"/>
              <w:bottom w:w="75.0" w:type="dxa"/>
            </w:tcMar>
            <w:vAlign w:val="center"/>
          </w:tcPr>
          <w:p w:rsidR="00000000" w:rsidDel="00000000" w:rsidP="00000000" w:rsidRDefault="00000000" w:rsidRPr="00000000" w14:paraId="00000050">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1</w:t>
            </w:r>
          </w:p>
        </w:tc>
        <w:tc>
          <w:tcPr>
            <w:tcMar>
              <w:top w:w="75.0" w:type="dxa"/>
              <w:bottom w:w="75.0" w:type="dxa"/>
            </w:tcMar>
            <w:vAlign w:val="center"/>
          </w:tcPr>
          <w:p w:rsidR="00000000" w:rsidDel="00000000" w:rsidP="00000000" w:rsidRDefault="00000000" w:rsidRPr="00000000" w14:paraId="00000051">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Documento de Definición de Proyecto APT (Fase 1)</w:t>
            </w:r>
          </w:p>
        </w:tc>
        <w:tc>
          <w:tcPr>
            <w:tcMar>
              <w:top w:w="75.0" w:type="dxa"/>
              <w:bottom w:w="75.0" w:type="dxa"/>
            </w:tcMar>
            <w:vAlign w:val="center"/>
          </w:tcPr>
          <w:p w:rsidR="00000000" w:rsidDel="00000000" w:rsidP="00000000" w:rsidRDefault="00000000" w:rsidRPr="00000000" w14:paraId="00000052">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Documento formal que consolida antecedentes, fundamentación, objetivos, metodología</w:t>
            </w:r>
            <w:r w:rsidDel="00000000" w:rsidR="00000000" w:rsidRPr="00000000">
              <w:rPr>
                <w:rFonts w:ascii="Arial" w:cs="Arial" w:eastAsia="Arial" w:hAnsi="Arial"/>
                <w:sz w:val="15"/>
                <w:szCs w:val="15"/>
                <w:rtl w:val="0"/>
              </w:rPr>
              <w:t xml:space="preserve"> y </w:t>
            </w:r>
            <w:r w:rsidDel="00000000" w:rsidR="00000000" w:rsidRPr="00000000">
              <w:rPr>
                <w:rFonts w:ascii="Arial" w:cs="Arial" w:eastAsia="Arial" w:hAnsi="Arial"/>
                <w:b w:val="0"/>
                <w:bCs w:val="0"/>
                <w:i w:val="0"/>
                <w:iCs w:val="0"/>
                <w:color w:val="000000"/>
                <w:sz w:val="15"/>
                <w:szCs w:val="15"/>
                <w:rtl w:val="0"/>
              </w:rPr>
              <w:t xml:space="preserve">plan de trabajo. Constituye la línea base contra la cual se mide el avance posterior.</w:t>
            </w:r>
          </w:p>
        </w:tc>
        <w:tc>
          <w:tcPr>
            <w:tcMar>
              <w:top w:w="75.0" w:type="dxa"/>
              <w:bottom w:w="75.0" w:type="dxa"/>
            </w:tcMar>
            <w:vAlign w:val="center"/>
          </w:tcPr>
          <w:p w:rsidR="00000000" w:rsidDel="00000000" w:rsidP="00000000" w:rsidRDefault="00000000" w:rsidRPr="00000000" w14:paraId="00000053">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 y final</w:t>
            </w:r>
          </w:p>
        </w:tc>
      </w:tr>
      <w:tr>
        <w:trPr>
          <w:cantSplit w:val="1"/>
          <w:tblHeader w:val="0"/>
        </w:trPr>
        <w:tc>
          <w:tcPr>
            <w:tcMar>
              <w:top w:w="75.0" w:type="dxa"/>
              <w:bottom w:w="75.0" w:type="dxa"/>
            </w:tcMar>
            <w:vAlign w:val="center"/>
          </w:tcPr>
          <w:p w:rsidR="00000000" w:rsidDel="00000000" w:rsidP="00000000" w:rsidRDefault="00000000" w:rsidRPr="00000000" w14:paraId="00000054">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2</w:t>
            </w:r>
          </w:p>
        </w:tc>
        <w:tc>
          <w:tcPr>
            <w:tcMar>
              <w:top w:w="75.0" w:type="dxa"/>
              <w:bottom w:w="75.0" w:type="dxa"/>
            </w:tcMar>
            <w:vAlign w:val="center"/>
          </w:tcPr>
          <w:p w:rsidR="00000000" w:rsidDel="00000000" w:rsidP="00000000" w:rsidRDefault="00000000" w:rsidRPr="00000000" w14:paraId="00000055">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Presentación de Definición de Proyecto (03/09)</w:t>
            </w:r>
          </w:p>
        </w:tc>
        <w:tc>
          <w:tcPr>
            <w:tcMar>
              <w:top w:w="75.0" w:type="dxa"/>
              <w:bottom w:w="75.0" w:type="dxa"/>
            </w:tcMar>
            <w:vAlign w:val="center"/>
          </w:tcPr>
          <w:p w:rsidR="00000000" w:rsidDel="00000000" w:rsidP="00000000" w:rsidRDefault="00000000" w:rsidRPr="00000000" w14:paraId="00000056">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Exposición ante la docente y pares en la que se presentan problema, alcance, objetivos y plan de trabajo, con registro de la retroalimentación recibida.</w:t>
            </w:r>
          </w:p>
        </w:tc>
        <w:tc>
          <w:tcPr>
            <w:tcMar>
              <w:top w:w="75.0" w:type="dxa"/>
              <w:bottom w:w="75.0" w:type="dxa"/>
            </w:tcMar>
            <w:vAlign w:val="center"/>
          </w:tcPr>
          <w:p w:rsidR="00000000" w:rsidDel="00000000" w:rsidP="00000000" w:rsidRDefault="00000000" w:rsidRPr="00000000" w14:paraId="00000057">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w:t>
            </w:r>
          </w:p>
        </w:tc>
      </w:tr>
      <w:tr>
        <w:trPr>
          <w:cantSplit w:val="1"/>
          <w:tblHeader w:val="0"/>
        </w:trPr>
        <w:tc>
          <w:tcPr>
            <w:tcMar>
              <w:top w:w="75.0" w:type="dxa"/>
              <w:bottom w:w="75.0" w:type="dxa"/>
            </w:tcMar>
            <w:vAlign w:val="center"/>
          </w:tcPr>
          <w:p w:rsidR="00000000" w:rsidDel="00000000" w:rsidP="00000000" w:rsidRDefault="00000000" w:rsidRPr="00000000" w14:paraId="00000058">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3</w:t>
            </w:r>
          </w:p>
        </w:tc>
        <w:tc>
          <w:tcPr>
            <w:tcMar>
              <w:top w:w="75.0" w:type="dxa"/>
              <w:bottom w:w="75.0" w:type="dxa"/>
            </w:tcMar>
            <w:vAlign w:val="center"/>
          </w:tcPr>
          <w:p w:rsidR="00000000" w:rsidDel="00000000" w:rsidP="00000000" w:rsidRDefault="00000000" w:rsidRPr="00000000" w14:paraId="00000059">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Set de diapositivas de la presentación</w:t>
            </w:r>
          </w:p>
        </w:tc>
        <w:tc>
          <w:tcPr>
            <w:tcMar>
              <w:top w:w="75.0" w:type="dxa"/>
              <w:bottom w:w="75.0" w:type="dxa"/>
            </w:tcMar>
            <w:vAlign w:val="center"/>
          </w:tcPr>
          <w:p w:rsidR="00000000" w:rsidDel="00000000" w:rsidP="00000000" w:rsidRDefault="00000000" w:rsidRPr="00000000" w14:paraId="0000005A">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Archivo PPTX con la estructura narrativa, diagramas, fuentes de datos y carta Gantt visual del proyecto.</w:t>
            </w:r>
          </w:p>
        </w:tc>
        <w:tc>
          <w:tcPr>
            <w:tcMar>
              <w:top w:w="75.0" w:type="dxa"/>
              <w:bottom w:w="75.0" w:type="dxa"/>
            </w:tcMar>
            <w:vAlign w:val="center"/>
          </w:tcPr>
          <w:p w:rsidR="00000000" w:rsidDel="00000000" w:rsidP="00000000" w:rsidRDefault="00000000" w:rsidRPr="00000000" w14:paraId="0000005B">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w:t>
            </w:r>
          </w:p>
        </w:tc>
      </w:tr>
      <w:tr>
        <w:trPr>
          <w:cantSplit w:val="1"/>
          <w:tblHeader w:val="0"/>
        </w:trPr>
        <w:tc>
          <w:tcPr>
            <w:tcMar>
              <w:top w:w="75.0" w:type="dxa"/>
              <w:bottom w:w="75.0" w:type="dxa"/>
            </w:tcMar>
            <w:vAlign w:val="center"/>
          </w:tcPr>
          <w:p w:rsidR="00000000" w:rsidDel="00000000" w:rsidP="00000000" w:rsidRDefault="00000000" w:rsidRPr="00000000" w14:paraId="0000005C">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4</w:t>
            </w:r>
          </w:p>
        </w:tc>
        <w:tc>
          <w:tcPr>
            <w:tcMar>
              <w:top w:w="75.0" w:type="dxa"/>
              <w:bottom w:w="75.0" w:type="dxa"/>
            </w:tcMar>
            <w:vAlign w:val="center"/>
          </w:tcPr>
          <w:p w:rsidR="00000000" w:rsidDel="00000000" w:rsidP="00000000" w:rsidRDefault="00000000" w:rsidRPr="00000000" w14:paraId="0000005D">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Guión de la presentación</w:t>
            </w:r>
          </w:p>
        </w:tc>
        <w:tc>
          <w:tcPr>
            <w:tcMar>
              <w:top w:w="75.0" w:type="dxa"/>
              <w:bottom w:w="75.0" w:type="dxa"/>
            </w:tcMar>
            <w:vAlign w:val="center"/>
          </w:tcPr>
          <w:p w:rsidR="00000000" w:rsidDel="00000000" w:rsidP="00000000" w:rsidRDefault="00000000" w:rsidRPr="00000000" w14:paraId="0000005E">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Documento con la narración por diapositiva, tiempos asignados y respuestas anticipadas a preguntas críticas sobre alcance, calidad de datos y factibilidad.</w:t>
            </w:r>
          </w:p>
        </w:tc>
        <w:tc>
          <w:tcPr>
            <w:tcMar>
              <w:top w:w="75.0" w:type="dxa"/>
              <w:bottom w:w="75.0" w:type="dxa"/>
            </w:tcMar>
            <w:vAlign w:val="center"/>
          </w:tcPr>
          <w:p w:rsidR="00000000" w:rsidDel="00000000" w:rsidP="00000000" w:rsidRDefault="00000000" w:rsidRPr="00000000" w14:paraId="0000005F">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w:t>
            </w:r>
          </w:p>
        </w:tc>
      </w:tr>
      <w:tr>
        <w:trPr>
          <w:cantSplit w:val="1"/>
          <w:tblHeader w:val="0"/>
        </w:trPr>
        <w:tc>
          <w:tcPr>
            <w:tcMar>
              <w:top w:w="75.0" w:type="dxa"/>
              <w:bottom w:w="75.0" w:type="dxa"/>
            </w:tcMar>
            <w:vAlign w:val="center"/>
          </w:tcPr>
          <w:p w:rsidR="00000000" w:rsidDel="00000000" w:rsidP="00000000" w:rsidRDefault="00000000" w:rsidRPr="00000000" w14:paraId="00000060">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5</w:t>
            </w:r>
          </w:p>
        </w:tc>
        <w:tc>
          <w:tcPr>
            <w:tcMar>
              <w:top w:w="75.0" w:type="dxa"/>
              <w:bottom w:w="75.0" w:type="dxa"/>
            </w:tcMar>
            <w:vAlign w:val="center"/>
          </w:tcPr>
          <w:p w:rsidR="00000000" w:rsidDel="00000000" w:rsidP="00000000" w:rsidRDefault="00000000" w:rsidRPr="00000000" w14:paraId="00000061">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Repositorio GitHub del proyecto</w:t>
            </w:r>
          </w:p>
        </w:tc>
        <w:tc>
          <w:tcPr>
            <w:tcMar>
              <w:top w:w="75.0" w:type="dxa"/>
              <w:bottom w:w="75.0" w:type="dxa"/>
            </w:tcMar>
            <w:vAlign w:val="center"/>
          </w:tcPr>
          <w:p w:rsidR="00000000" w:rsidDel="00000000" w:rsidP="00000000" w:rsidRDefault="00000000" w:rsidRPr="00000000" w14:paraId="00000062">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Repositorio con código fuente, README, estructura de carpetas, historial de commits, ramas y control de versiones de todos los componentes técnicos.</w:t>
            </w:r>
          </w:p>
        </w:tc>
        <w:tc>
          <w:tcPr>
            <w:tcMar>
              <w:top w:w="75.0" w:type="dxa"/>
              <w:bottom w:w="75.0" w:type="dxa"/>
            </w:tcMar>
            <w:vAlign w:val="center"/>
          </w:tcPr>
          <w:p w:rsidR="00000000" w:rsidDel="00000000" w:rsidP="00000000" w:rsidRDefault="00000000" w:rsidRPr="00000000" w14:paraId="00000063">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 y final</w:t>
            </w:r>
          </w:p>
        </w:tc>
      </w:tr>
      <w:tr>
        <w:trPr>
          <w:cantSplit w:val="1"/>
          <w:tblHeader w:val="0"/>
        </w:trPr>
        <w:tc>
          <w:tcPr>
            <w:tcMar>
              <w:top w:w="75.0" w:type="dxa"/>
              <w:bottom w:w="75.0" w:type="dxa"/>
            </w:tcMar>
            <w:vAlign w:val="center"/>
          </w:tcPr>
          <w:p w:rsidR="00000000" w:rsidDel="00000000" w:rsidP="00000000" w:rsidRDefault="00000000" w:rsidRPr="00000000" w14:paraId="00000064">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6</w:t>
            </w:r>
          </w:p>
        </w:tc>
        <w:tc>
          <w:tcPr>
            <w:tcMar>
              <w:top w:w="75.0" w:type="dxa"/>
              <w:bottom w:w="75.0" w:type="dxa"/>
            </w:tcMar>
            <w:vAlign w:val="center"/>
          </w:tcPr>
          <w:p w:rsidR="00000000" w:rsidDel="00000000" w:rsidP="00000000" w:rsidRDefault="00000000" w:rsidRPr="00000000" w14:paraId="00000065">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Tablero Kanban en GitHub Projects</w:t>
            </w:r>
          </w:p>
        </w:tc>
        <w:tc>
          <w:tcPr>
            <w:tcMar>
              <w:top w:w="75.0" w:type="dxa"/>
              <w:bottom w:w="75.0" w:type="dxa"/>
            </w:tcMar>
            <w:vAlign w:val="center"/>
          </w:tcPr>
          <w:p w:rsidR="00000000" w:rsidDel="00000000" w:rsidP="00000000" w:rsidRDefault="00000000" w:rsidRPr="00000000" w14:paraId="00000066">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Tablero con backlog, responsables, prioridad, estado, criterios de aceptación y enlaces a evidencias por tarea. Documenta la gestión ágil e iterativa declarada en la metodología.</w:t>
            </w:r>
          </w:p>
        </w:tc>
        <w:tc>
          <w:tcPr>
            <w:tcMar>
              <w:top w:w="75.0" w:type="dxa"/>
              <w:bottom w:w="75.0" w:type="dxa"/>
            </w:tcMar>
            <w:vAlign w:val="center"/>
          </w:tcPr>
          <w:p w:rsidR="00000000" w:rsidDel="00000000" w:rsidP="00000000" w:rsidRDefault="00000000" w:rsidRPr="00000000" w14:paraId="00000067">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 y final</w:t>
            </w:r>
          </w:p>
        </w:tc>
      </w:tr>
      <w:tr>
        <w:trPr>
          <w:cantSplit w:val="1"/>
          <w:tblHeader w:val="0"/>
        </w:trPr>
        <w:tc>
          <w:tcPr>
            <w:tcMar>
              <w:top w:w="75.0" w:type="dxa"/>
              <w:bottom w:w="75.0" w:type="dxa"/>
            </w:tcMar>
            <w:vAlign w:val="center"/>
          </w:tcPr>
          <w:p w:rsidR="00000000" w:rsidDel="00000000" w:rsidP="00000000" w:rsidRDefault="00000000" w:rsidRPr="00000000" w14:paraId="00000068">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7</w:t>
            </w:r>
          </w:p>
        </w:tc>
        <w:tc>
          <w:tcPr>
            <w:tcMar>
              <w:top w:w="75.0" w:type="dxa"/>
              <w:bottom w:w="75.0" w:type="dxa"/>
            </w:tcMar>
            <w:vAlign w:val="center"/>
          </w:tcPr>
          <w:p w:rsidR="00000000" w:rsidDel="00000000" w:rsidP="00000000" w:rsidRDefault="00000000" w:rsidRPr="00000000" w14:paraId="00000069">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Roadmap del proyecto en GitHub Projects</w:t>
            </w:r>
          </w:p>
        </w:tc>
        <w:tc>
          <w:tcPr>
            <w:tcMar>
              <w:top w:w="75.0" w:type="dxa"/>
              <w:bottom w:w="75.0" w:type="dxa"/>
            </w:tcMar>
            <w:vAlign w:val="center"/>
          </w:tcPr>
          <w:p w:rsidR="00000000" w:rsidDel="00000000" w:rsidP="00000000" w:rsidRDefault="00000000" w:rsidRPr="00000000" w14:paraId="0000006A">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Vista temporal de hitos y entregables por fase, alineada con la carta Gantt, que permite comparar lo planificado con lo efectivamente ejecutado.</w:t>
            </w:r>
          </w:p>
        </w:tc>
        <w:tc>
          <w:tcPr>
            <w:tcMar>
              <w:top w:w="75.0" w:type="dxa"/>
              <w:bottom w:w="75.0" w:type="dxa"/>
            </w:tcMar>
            <w:vAlign w:val="center"/>
          </w:tcPr>
          <w:p w:rsidR="00000000" w:rsidDel="00000000" w:rsidP="00000000" w:rsidRDefault="00000000" w:rsidRPr="00000000" w14:paraId="0000006B">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 y final</w:t>
            </w:r>
          </w:p>
        </w:tc>
      </w:tr>
      <w:tr>
        <w:trPr>
          <w:cantSplit w:val="1"/>
          <w:tblHeader w:val="0"/>
        </w:trPr>
        <w:tc>
          <w:tcPr>
            <w:tcMar>
              <w:top w:w="75.0" w:type="dxa"/>
              <w:bottom w:w="75.0" w:type="dxa"/>
            </w:tcMar>
            <w:vAlign w:val="center"/>
          </w:tcPr>
          <w:p w:rsidR="00000000" w:rsidDel="00000000" w:rsidP="00000000" w:rsidRDefault="00000000" w:rsidRPr="00000000" w14:paraId="0000006C">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8</w:t>
            </w:r>
          </w:p>
        </w:tc>
        <w:tc>
          <w:tcPr>
            <w:tcMar>
              <w:top w:w="75.0" w:type="dxa"/>
              <w:bottom w:w="75.0" w:type="dxa"/>
            </w:tcMar>
            <w:vAlign w:val="center"/>
          </w:tcPr>
          <w:p w:rsidR="00000000" w:rsidDel="00000000" w:rsidP="00000000" w:rsidRDefault="00000000" w:rsidRPr="00000000" w14:paraId="0000006D">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Carpeta OneDrive del proyecto</w:t>
            </w:r>
          </w:p>
        </w:tc>
        <w:tc>
          <w:tcPr>
            <w:tcMar>
              <w:top w:w="75.0" w:type="dxa"/>
              <w:bottom w:w="75.0" w:type="dxa"/>
            </w:tcMar>
            <w:vAlign w:val="center"/>
          </w:tcPr>
          <w:p w:rsidR="00000000" w:rsidDel="00000000" w:rsidP="00000000" w:rsidRDefault="00000000" w:rsidRPr="00000000" w14:paraId="0000006E">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Repositorio documental compartido: actas, entregables, presentaciones, insumos no versionables en Git y respaldos del proyecto.</w:t>
            </w:r>
          </w:p>
        </w:tc>
        <w:tc>
          <w:tcPr>
            <w:tcMar>
              <w:top w:w="75.0" w:type="dxa"/>
              <w:bottom w:w="75.0" w:type="dxa"/>
            </w:tcMar>
            <w:vAlign w:val="center"/>
          </w:tcPr>
          <w:p w:rsidR="00000000" w:rsidDel="00000000" w:rsidP="00000000" w:rsidRDefault="00000000" w:rsidRPr="00000000" w14:paraId="0000006F">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 y final</w:t>
            </w:r>
          </w:p>
        </w:tc>
      </w:tr>
      <w:tr>
        <w:trPr>
          <w:cantSplit w:val="1"/>
          <w:tblHeader w:val="0"/>
        </w:trPr>
        <w:tc>
          <w:tcPr>
            <w:tcMar>
              <w:top w:w="75.0" w:type="dxa"/>
              <w:bottom w:w="75.0" w:type="dxa"/>
            </w:tcMar>
            <w:vAlign w:val="center"/>
          </w:tcPr>
          <w:p w:rsidR="00000000" w:rsidDel="00000000" w:rsidP="00000000" w:rsidRDefault="00000000" w:rsidRPr="00000000" w14:paraId="00000070">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9</w:t>
            </w:r>
          </w:p>
        </w:tc>
        <w:tc>
          <w:tcPr>
            <w:tcMar>
              <w:top w:w="75.0" w:type="dxa"/>
              <w:bottom w:w="75.0" w:type="dxa"/>
            </w:tcMar>
            <w:vAlign w:val="center"/>
          </w:tcPr>
          <w:p w:rsidR="00000000" w:rsidDel="00000000" w:rsidP="00000000" w:rsidRDefault="00000000" w:rsidRPr="00000000" w14:paraId="00000071">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Bitácora y actas de reuniones</w:t>
            </w:r>
          </w:p>
        </w:tc>
        <w:tc>
          <w:tcPr>
            <w:tcMar>
              <w:top w:w="75.0" w:type="dxa"/>
              <w:bottom w:w="75.0" w:type="dxa"/>
            </w:tcMar>
            <w:vAlign w:val="center"/>
          </w:tcPr>
          <w:p w:rsidR="00000000" w:rsidDel="00000000" w:rsidP="00000000" w:rsidRDefault="00000000" w:rsidRPr="00000000" w14:paraId="00000072">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Registro fechado de las reuniones con la docente y el cliente piloto, con acuerdos, decisiones de alcance y compromisos asumidos.</w:t>
            </w:r>
          </w:p>
        </w:tc>
        <w:tc>
          <w:tcPr>
            <w:tcMar>
              <w:top w:w="75.0" w:type="dxa"/>
              <w:bottom w:w="75.0" w:type="dxa"/>
            </w:tcMar>
            <w:vAlign w:val="center"/>
          </w:tcPr>
          <w:p w:rsidR="00000000" w:rsidDel="00000000" w:rsidP="00000000" w:rsidRDefault="00000000" w:rsidRPr="00000000" w14:paraId="00000073">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 y final</w:t>
            </w:r>
          </w:p>
        </w:tc>
      </w:tr>
      <w:tr>
        <w:trPr>
          <w:cantSplit w:val="1"/>
          <w:tblHeader w:val="0"/>
        </w:trPr>
        <w:tc>
          <w:tcPr>
            <w:tcMar>
              <w:top w:w="75.0" w:type="dxa"/>
              <w:bottom w:w="75.0" w:type="dxa"/>
            </w:tcMar>
            <w:vAlign w:val="center"/>
          </w:tcPr>
          <w:p w:rsidR="00000000" w:rsidDel="00000000" w:rsidP="00000000" w:rsidRDefault="00000000" w:rsidRPr="00000000" w14:paraId="00000074">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10</w:t>
            </w:r>
          </w:p>
        </w:tc>
        <w:tc>
          <w:tcPr>
            <w:tcMar>
              <w:top w:w="75.0" w:type="dxa"/>
              <w:bottom w:w="75.0" w:type="dxa"/>
            </w:tcMar>
            <w:vAlign w:val="center"/>
          </w:tcPr>
          <w:p w:rsidR="00000000" w:rsidDel="00000000" w:rsidP="00000000" w:rsidRDefault="00000000" w:rsidRPr="00000000" w14:paraId="00000075">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Registro de entrevistas con el cliente piloto</w:t>
            </w:r>
          </w:p>
        </w:tc>
        <w:tc>
          <w:tcPr>
            <w:tcMar>
              <w:top w:w="75.0" w:type="dxa"/>
              <w:bottom w:w="75.0" w:type="dxa"/>
            </w:tcMar>
            <w:vAlign w:val="center"/>
          </w:tcPr>
          <w:p w:rsidR="00000000" w:rsidDel="00000000" w:rsidP="00000000" w:rsidRDefault="00000000" w:rsidRPr="00000000" w14:paraId="00000076">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Pauta, notas y hallazgos de las entrevistas del dominio, incluida la realizada a la psicóloga Belén Guzmán, y su impacto en la definición del alcance.</w:t>
            </w:r>
          </w:p>
        </w:tc>
        <w:tc>
          <w:tcPr>
            <w:tcMar>
              <w:top w:w="75.0" w:type="dxa"/>
              <w:bottom w:w="75.0" w:type="dxa"/>
            </w:tcMar>
            <w:vAlign w:val="center"/>
          </w:tcPr>
          <w:p w:rsidR="00000000" w:rsidDel="00000000" w:rsidP="00000000" w:rsidRDefault="00000000" w:rsidRPr="00000000" w14:paraId="00000077">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w:t>
            </w:r>
          </w:p>
        </w:tc>
      </w:tr>
      <w:tr>
        <w:trPr>
          <w:cantSplit w:val="1"/>
          <w:tblHeader w:val="0"/>
        </w:trPr>
        <w:tc>
          <w:tcPr>
            <w:tcMar>
              <w:top w:w="75.0" w:type="dxa"/>
              <w:bottom w:w="75.0" w:type="dxa"/>
            </w:tcMar>
            <w:vAlign w:val="center"/>
          </w:tcPr>
          <w:p w:rsidR="00000000" w:rsidDel="00000000" w:rsidP="00000000" w:rsidRDefault="00000000" w:rsidRPr="00000000" w14:paraId="00000078">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11</w:t>
            </w:r>
          </w:p>
        </w:tc>
        <w:tc>
          <w:tcPr>
            <w:tcMar>
              <w:top w:w="75.0" w:type="dxa"/>
              <w:bottom w:w="75.0" w:type="dxa"/>
            </w:tcMar>
            <w:vAlign w:val="center"/>
          </w:tcPr>
          <w:p w:rsidR="00000000" w:rsidDel="00000000" w:rsidP="00000000" w:rsidRDefault="00000000" w:rsidRPr="00000000" w14:paraId="00000079">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Documento de requerimientos</w:t>
            </w:r>
          </w:p>
        </w:tc>
        <w:tc>
          <w:tcPr>
            <w:tcMar>
              <w:top w:w="75.0" w:type="dxa"/>
              <w:bottom w:w="75.0" w:type="dxa"/>
            </w:tcMar>
            <w:vAlign w:val="center"/>
          </w:tcPr>
          <w:p w:rsidR="00000000" w:rsidDel="00000000" w:rsidP="00000000" w:rsidRDefault="00000000" w:rsidRPr="00000000" w14:paraId="0000007A">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Requerimientos funcionales y no funcionales, historias de usuario con criterios de aceptación, usuarios identificados y decisiones de uso de la plataforma.</w:t>
            </w:r>
          </w:p>
        </w:tc>
        <w:tc>
          <w:tcPr>
            <w:tcMar>
              <w:top w:w="75.0" w:type="dxa"/>
              <w:bottom w:w="75.0" w:type="dxa"/>
            </w:tcMar>
            <w:vAlign w:val="center"/>
          </w:tcPr>
          <w:p w:rsidR="00000000" w:rsidDel="00000000" w:rsidP="00000000" w:rsidRDefault="00000000" w:rsidRPr="00000000" w14:paraId="0000007B">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w:t>
            </w:r>
          </w:p>
        </w:tc>
      </w:tr>
      <w:tr>
        <w:trPr>
          <w:cantSplit w:val="1"/>
          <w:tblHeader w:val="0"/>
        </w:trPr>
        <w:tc>
          <w:tcPr>
            <w:tcMar>
              <w:top w:w="75.0" w:type="dxa"/>
              <w:bottom w:w="75.0" w:type="dxa"/>
            </w:tcMar>
            <w:vAlign w:val="center"/>
          </w:tcPr>
          <w:p w:rsidR="00000000" w:rsidDel="00000000" w:rsidP="00000000" w:rsidRDefault="00000000" w:rsidRPr="00000000" w14:paraId="0000007C">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12</w:t>
            </w:r>
          </w:p>
        </w:tc>
        <w:tc>
          <w:tcPr>
            <w:tcMar>
              <w:top w:w="75.0" w:type="dxa"/>
              <w:bottom w:w="75.0" w:type="dxa"/>
            </w:tcMar>
            <w:vAlign w:val="center"/>
          </w:tcPr>
          <w:p w:rsidR="00000000" w:rsidDel="00000000" w:rsidP="00000000" w:rsidRDefault="00000000" w:rsidRPr="00000000" w14:paraId="0000007D">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Informe de auditoría y perfilado de fuentes DEIS/MINSAL</w:t>
            </w:r>
          </w:p>
        </w:tc>
        <w:tc>
          <w:tcPr>
            <w:tcMar>
              <w:top w:w="75.0" w:type="dxa"/>
              <w:bottom w:w="75.0" w:type="dxa"/>
            </w:tcMar>
            <w:vAlign w:val="center"/>
          </w:tcPr>
          <w:p w:rsidR="00000000" w:rsidDel="00000000" w:rsidP="00000000" w:rsidRDefault="00000000" w:rsidRPr="00000000" w14:paraId="0000007E">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Análisis de cobertura temporal, subregistro, valores faltantes, consistencia entre establecimientos y resolución diagnóstica de ambas bases oficiales.</w:t>
            </w:r>
          </w:p>
        </w:tc>
        <w:tc>
          <w:tcPr>
            <w:tcMar>
              <w:top w:w="75.0" w:type="dxa"/>
              <w:bottom w:w="75.0" w:type="dxa"/>
            </w:tcMar>
            <w:vAlign w:val="center"/>
          </w:tcPr>
          <w:p w:rsidR="00000000" w:rsidDel="00000000" w:rsidP="00000000" w:rsidRDefault="00000000" w:rsidRPr="00000000" w14:paraId="0000007F">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w:t>
            </w:r>
          </w:p>
        </w:tc>
      </w:tr>
      <w:tr>
        <w:trPr>
          <w:cantSplit w:val="1"/>
          <w:tblHeader w:val="0"/>
        </w:trPr>
        <w:tc>
          <w:tcPr>
            <w:tcMar>
              <w:top w:w="75.0" w:type="dxa"/>
              <w:bottom w:w="75.0" w:type="dxa"/>
            </w:tcMar>
            <w:vAlign w:val="center"/>
          </w:tcPr>
          <w:p w:rsidR="00000000" w:rsidDel="00000000" w:rsidP="00000000" w:rsidRDefault="00000000" w:rsidRPr="00000000" w14:paraId="00000080">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13</w:t>
            </w:r>
          </w:p>
        </w:tc>
        <w:tc>
          <w:tcPr>
            <w:tcMar>
              <w:top w:w="75.0" w:type="dxa"/>
              <w:bottom w:w="75.0" w:type="dxa"/>
            </w:tcMar>
            <w:vAlign w:val="center"/>
          </w:tcPr>
          <w:p w:rsidR="00000000" w:rsidDel="00000000" w:rsidP="00000000" w:rsidRDefault="00000000" w:rsidRPr="00000000" w14:paraId="00000081">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Diccionario de datos y catálogo de fuentes</w:t>
            </w:r>
          </w:p>
        </w:tc>
        <w:tc>
          <w:tcPr>
            <w:tcMar>
              <w:top w:w="75.0" w:type="dxa"/>
              <w:bottom w:w="75.0" w:type="dxa"/>
            </w:tcMar>
            <w:vAlign w:val="center"/>
          </w:tcPr>
          <w:p w:rsidR="00000000" w:rsidDel="00000000" w:rsidP="00000000" w:rsidRDefault="00000000" w:rsidRPr="00000000" w14:paraId="00000082">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sz w:val="15"/>
                <w:szCs w:val="15"/>
                <w:rtl w:val="0"/>
              </w:rPr>
              <w:t xml:space="preserve">Definición de variables, tipos, dominios, granularidad y trazabilidad, con licencias y condiciones de uso de cada fuente (DEIS/MINSAL, OSM, GTFS, Censo e indicadores oficiales complementarios desagregados por sexo provenientes de Estadísticas de Género).</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83">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w:t>
            </w:r>
          </w:p>
        </w:tc>
      </w:tr>
      <w:tr>
        <w:trPr>
          <w:cantSplit w:val="1"/>
          <w:tblHeader w:val="0"/>
        </w:trPr>
        <w:tc>
          <w:tcPr>
            <w:tcMar>
              <w:top w:w="75.0" w:type="dxa"/>
              <w:bottom w:w="75.0" w:type="dxa"/>
            </w:tcMar>
            <w:vAlign w:val="center"/>
          </w:tcPr>
          <w:p w:rsidR="00000000" w:rsidDel="00000000" w:rsidP="00000000" w:rsidRDefault="00000000" w:rsidRPr="00000000" w14:paraId="00000084">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14</w:t>
            </w:r>
          </w:p>
        </w:tc>
        <w:tc>
          <w:tcPr>
            <w:tcMar>
              <w:top w:w="75.0" w:type="dxa"/>
              <w:bottom w:w="75.0" w:type="dxa"/>
            </w:tcMar>
            <w:vAlign w:val="center"/>
          </w:tcPr>
          <w:p w:rsidR="00000000" w:rsidDel="00000000" w:rsidP="00000000" w:rsidRDefault="00000000" w:rsidRPr="00000000" w14:paraId="00000085">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Documento de arquitectura</w:t>
            </w:r>
          </w:p>
        </w:tc>
        <w:tc>
          <w:tcPr>
            <w:tcMar>
              <w:top w:w="75.0" w:type="dxa"/>
              <w:bottom w:w="75.0" w:type="dxa"/>
            </w:tcMar>
            <w:vAlign w:val="center"/>
          </w:tcPr>
          <w:p w:rsidR="00000000" w:rsidDel="00000000" w:rsidP="00000000" w:rsidRDefault="00000000" w:rsidRPr="00000000" w14:paraId="00000086">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Diagrama de componentes y de despliegue, decisiones técnicas justificadas, definición de la API y criterios de seguridad y manejo responsable de los datos.</w:t>
            </w:r>
          </w:p>
        </w:tc>
        <w:tc>
          <w:tcPr>
            <w:tcMar>
              <w:top w:w="75.0" w:type="dxa"/>
              <w:bottom w:w="75.0" w:type="dxa"/>
            </w:tcMar>
            <w:vAlign w:val="center"/>
          </w:tcPr>
          <w:p w:rsidR="00000000" w:rsidDel="00000000" w:rsidP="00000000" w:rsidRDefault="00000000" w:rsidRPr="00000000" w14:paraId="00000087">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w:t>
            </w:r>
          </w:p>
        </w:tc>
      </w:tr>
      <w:tr>
        <w:trPr>
          <w:cantSplit w:val="1"/>
          <w:tblHeader w:val="0"/>
        </w:trPr>
        <w:tc>
          <w:tcPr>
            <w:tcMar>
              <w:top w:w="75.0" w:type="dxa"/>
              <w:bottom w:w="75.0" w:type="dxa"/>
            </w:tcMar>
            <w:vAlign w:val="center"/>
          </w:tcPr>
          <w:p w:rsidR="00000000" w:rsidDel="00000000" w:rsidP="00000000" w:rsidRDefault="00000000" w:rsidRPr="00000000" w14:paraId="00000088">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15</w:t>
            </w:r>
          </w:p>
        </w:tc>
        <w:tc>
          <w:tcPr>
            <w:tcMar>
              <w:top w:w="75.0" w:type="dxa"/>
              <w:bottom w:w="75.0" w:type="dxa"/>
            </w:tcMar>
            <w:vAlign w:val="center"/>
          </w:tcPr>
          <w:p w:rsidR="00000000" w:rsidDel="00000000" w:rsidP="00000000" w:rsidRDefault="00000000" w:rsidRPr="00000000" w14:paraId="00000089">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Modelo de datos</w:t>
            </w:r>
          </w:p>
        </w:tc>
        <w:tc>
          <w:tcPr>
            <w:tcMar>
              <w:top w:w="75.0" w:type="dxa"/>
              <w:bottom w:w="75.0" w:type="dxa"/>
            </w:tcMar>
            <w:vAlign w:val="center"/>
          </w:tcPr>
          <w:p w:rsidR="00000000" w:rsidDel="00000000" w:rsidP="00000000" w:rsidRDefault="00000000" w:rsidRPr="00000000" w14:paraId="0000008A">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Diagrama del modelo lógico y físico, con separación explícita de las granularidades de urgencias y egresos hospitalarios.</w:t>
            </w:r>
          </w:p>
        </w:tc>
        <w:tc>
          <w:tcPr>
            <w:tcMar>
              <w:top w:w="75.0" w:type="dxa"/>
              <w:bottom w:w="75.0" w:type="dxa"/>
            </w:tcMar>
            <w:vAlign w:val="center"/>
          </w:tcPr>
          <w:p w:rsidR="00000000" w:rsidDel="00000000" w:rsidP="00000000" w:rsidRDefault="00000000" w:rsidRPr="00000000" w14:paraId="0000008B">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w:t>
            </w:r>
          </w:p>
        </w:tc>
      </w:tr>
      <w:tr>
        <w:trPr>
          <w:cantSplit w:val="1"/>
          <w:tblHeader w:val="0"/>
        </w:trPr>
        <w:tc>
          <w:tcPr>
            <w:tcMar>
              <w:top w:w="75.0" w:type="dxa"/>
              <w:bottom w:w="75.0" w:type="dxa"/>
            </w:tcMar>
            <w:vAlign w:val="center"/>
          </w:tcPr>
          <w:p w:rsidR="00000000" w:rsidDel="00000000" w:rsidP="00000000" w:rsidRDefault="00000000" w:rsidRPr="00000000" w14:paraId="0000008C">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16</w:t>
            </w:r>
          </w:p>
        </w:tc>
        <w:tc>
          <w:tcPr>
            <w:tcMar>
              <w:top w:w="75.0" w:type="dxa"/>
              <w:bottom w:w="75.0" w:type="dxa"/>
            </w:tcMar>
            <w:vAlign w:val="center"/>
          </w:tcPr>
          <w:p w:rsidR="00000000" w:rsidDel="00000000" w:rsidP="00000000" w:rsidRDefault="00000000" w:rsidRPr="00000000" w14:paraId="0000008D">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Prototipo de interfaz</w:t>
            </w:r>
          </w:p>
        </w:tc>
        <w:tc>
          <w:tcPr>
            <w:tcMar>
              <w:top w:w="75.0" w:type="dxa"/>
              <w:bottom w:w="75.0" w:type="dxa"/>
            </w:tcMar>
            <w:vAlign w:val="center"/>
          </w:tcPr>
          <w:p w:rsidR="00000000" w:rsidDel="00000000" w:rsidP="00000000" w:rsidRDefault="00000000" w:rsidRPr="00000000" w14:paraId="0000008E">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Wireframes o mockups y flujos de navegación de la plataforma, validados con el cliente piloto antes de iniciar la construcción.</w:t>
            </w:r>
          </w:p>
        </w:tc>
        <w:tc>
          <w:tcPr>
            <w:tcMar>
              <w:top w:w="75.0" w:type="dxa"/>
              <w:bottom w:w="75.0" w:type="dxa"/>
            </w:tcMar>
            <w:vAlign w:val="center"/>
          </w:tcPr>
          <w:p w:rsidR="00000000" w:rsidDel="00000000" w:rsidP="00000000" w:rsidRDefault="00000000" w:rsidRPr="00000000" w14:paraId="0000008F">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w:t>
            </w:r>
          </w:p>
        </w:tc>
      </w:tr>
      <w:tr>
        <w:trPr>
          <w:cantSplit w:val="1"/>
          <w:tblHeader w:val="0"/>
        </w:trPr>
        <w:tc>
          <w:tcPr>
            <w:tcMar>
              <w:top w:w="75.0" w:type="dxa"/>
              <w:bottom w:w="75.0" w:type="dxa"/>
            </w:tcMar>
            <w:vAlign w:val="center"/>
          </w:tcPr>
          <w:p w:rsidR="00000000" w:rsidDel="00000000" w:rsidP="00000000" w:rsidRDefault="00000000" w:rsidRPr="00000000" w14:paraId="00000090">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17</w:t>
            </w:r>
          </w:p>
        </w:tc>
        <w:tc>
          <w:tcPr>
            <w:tcMar>
              <w:top w:w="75.0" w:type="dxa"/>
              <w:bottom w:w="75.0" w:type="dxa"/>
            </w:tcMar>
            <w:vAlign w:val="center"/>
          </w:tcPr>
          <w:p w:rsidR="00000000" w:rsidDel="00000000" w:rsidP="00000000" w:rsidRDefault="00000000" w:rsidRPr="00000000" w14:paraId="00000091">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Pipeline de datos reproducible</w:t>
            </w:r>
          </w:p>
        </w:tc>
        <w:tc>
          <w:tcPr>
            <w:tcMar>
              <w:top w:w="75.0" w:type="dxa"/>
              <w:bottom w:w="75.0" w:type="dxa"/>
            </w:tcMar>
            <w:vAlign w:val="center"/>
          </w:tcPr>
          <w:p w:rsidR="00000000" w:rsidDel="00000000" w:rsidP="00000000" w:rsidRDefault="00000000" w:rsidRPr="00000000" w14:paraId="00000092">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Código versionado de ingesta, limpieza, normalización y agregación, con reglas de calidad y pruebas de datos ejecutables.</w:t>
            </w:r>
          </w:p>
        </w:tc>
        <w:tc>
          <w:tcPr>
            <w:tcMar>
              <w:top w:w="75.0" w:type="dxa"/>
              <w:bottom w:w="75.0" w:type="dxa"/>
            </w:tcMar>
            <w:vAlign w:val="center"/>
          </w:tcPr>
          <w:p w:rsidR="00000000" w:rsidDel="00000000" w:rsidP="00000000" w:rsidRDefault="00000000" w:rsidRPr="00000000" w14:paraId="00000093">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Final</w:t>
            </w:r>
          </w:p>
        </w:tc>
      </w:tr>
      <w:tr>
        <w:trPr>
          <w:cantSplit w:val="1"/>
          <w:tblHeader w:val="0"/>
        </w:trPr>
        <w:tc>
          <w:tcPr>
            <w:tcMar>
              <w:top w:w="75.0" w:type="dxa"/>
              <w:bottom w:w="75.0" w:type="dxa"/>
            </w:tcMar>
            <w:vAlign w:val="center"/>
          </w:tcPr>
          <w:p w:rsidR="00000000" w:rsidDel="00000000" w:rsidP="00000000" w:rsidRDefault="00000000" w:rsidRPr="00000000" w14:paraId="00000094">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18</w:t>
            </w:r>
          </w:p>
        </w:tc>
        <w:tc>
          <w:tcPr>
            <w:tcMar>
              <w:top w:w="75.0" w:type="dxa"/>
              <w:bottom w:w="75.0" w:type="dxa"/>
            </w:tcMar>
            <w:vAlign w:val="center"/>
          </w:tcPr>
          <w:p w:rsidR="00000000" w:rsidDel="00000000" w:rsidP="00000000" w:rsidRDefault="00000000" w:rsidRPr="00000000" w14:paraId="00000095">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Modelo de proyección de demanda</w:t>
            </w:r>
          </w:p>
        </w:tc>
        <w:tc>
          <w:tcPr>
            <w:tcMar>
              <w:top w:w="75.0" w:type="dxa"/>
              <w:bottom w:w="75.0" w:type="dxa"/>
            </w:tcMar>
            <w:vAlign w:val="center"/>
          </w:tcPr>
          <w:p w:rsidR="00000000" w:rsidDel="00000000" w:rsidP="00000000" w:rsidRDefault="00000000" w:rsidRPr="00000000" w14:paraId="00000096">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Código de entrenamiento y evaluación, métricas, intervalos de predicción, backtesting y comparación contra un baseline estacional ingenuo.</w:t>
            </w:r>
          </w:p>
        </w:tc>
        <w:tc>
          <w:tcPr>
            <w:tcMar>
              <w:top w:w="75.0" w:type="dxa"/>
              <w:bottom w:w="75.0" w:type="dxa"/>
            </w:tcMar>
            <w:vAlign w:val="center"/>
          </w:tcPr>
          <w:p w:rsidR="00000000" w:rsidDel="00000000" w:rsidP="00000000" w:rsidRDefault="00000000" w:rsidRPr="00000000" w14:paraId="00000097">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Final</w:t>
            </w:r>
          </w:p>
        </w:tc>
      </w:tr>
      <w:tr>
        <w:trPr>
          <w:cantSplit w:val="1"/>
          <w:tblHeader w:val="0"/>
        </w:trPr>
        <w:tc>
          <w:tcPr>
            <w:tcMar>
              <w:top w:w="75.0" w:type="dxa"/>
              <w:bottom w:w="75.0" w:type="dxa"/>
            </w:tcMar>
            <w:vAlign w:val="center"/>
          </w:tcPr>
          <w:p w:rsidR="00000000" w:rsidDel="00000000" w:rsidP="00000000" w:rsidRDefault="00000000" w:rsidRPr="00000000" w14:paraId="00000098">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19</w:t>
            </w:r>
          </w:p>
        </w:tc>
        <w:tc>
          <w:tcPr>
            <w:tcMar>
              <w:top w:w="75.0" w:type="dxa"/>
              <w:bottom w:w="75.0" w:type="dxa"/>
            </w:tcMar>
            <w:vAlign w:val="center"/>
          </w:tcPr>
          <w:p w:rsidR="00000000" w:rsidDel="00000000" w:rsidP="00000000" w:rsidRDefault="00000000" w:rsidRPr="00000000" w14:paraId="00000099">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Capa geoespacial de accesibilidad</w:t>
            </w:r>
          </w:p>
        </w:tc>
        <w:tc>
          <w:tcPr>
            <w:tcMar>
              <w:top w:w="75.0" w:type="dxa"/>
              <w:bottom w:w="75.0" w:type="dxa"/>
            </w:tcMar>
            <w:vAlign w:val="center"/>
          </w:tcPr>
          <w:p w:rsidR="00000000" w:rsidDel="00000000" w:rsidP="00000000" w:rsidRDefault="00000000" w:rsidRPr="00000000" w14:paraId="0000009A">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Georreferenciación de establecimientos, isócronas OSM/GTFS, estimación de cobertura poblacional y mapas de brechas comunales.</w:t>
            </w:r>
          </w:p>
        </w:tc>
        <w:tc>
          <w:tcPr>
            <w:tcMar>
              <w:top w:w="75.0" w:type="dxa"/>
              <w:bottom w:w="75.0" w:type="dxa"/>
            </w:tcMar>
            <w:vAlign w:val="center"/>
          </w:tcPr>
          <w:p w:rsidR="00000000" w:rsidDel="00000000" w:rsidP="00000000" w:rsidRDefault="00000000" w:rsidRPr="00000000" w14:paraId="0000009B">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Final</w:t>
            </w:r>
          </w:p>
        </w:tc>
      </w:tr>
      <w:tr>
        <w:trPr>
          <w:cantSplit w:val="1"/>
          <w:tblHeader w:val="0"/>
        </w:trPr>
        <w:tc>
          <w:tcPr>
            <w:tcMar>
              <w:top w:w="75.0" w:type="dxa"/>
              <w:bottom w:w="75.0" w:type="dxa"/>
            </w:tcMar>
            <w:vAlign w:val="center"/>
          </w:tcPr>
          <w:p w:rsidR="00000000" w:rsidDel="00000000" w:rsidP="00000000" w:rsidRDefault="00000000" w:rsidRPr="00000000" w14:paraId="0000009C">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20</w:t>
            </w:r>
          </w:p>
        </w:tc>
        <w:tc>
          <w:tcPr>
            <w:tcMar>
              <w:top w:w="75.0" w:type="dxa"/>
              <w:bottom w:w="75.0" w:type="dxa"/>
            </w:tcMar>
            <w:vAlign w:val="center"/>
          </w:tcPr>
          <w:p w:rsidR="00000000" w:rsidDel="00000000" w:rsidP="00000000" w:rsidRDefault="00000000" w:rsidRPr="00000000" w14:paraId="0000009D">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Análisis de hospitalización psiquiátrica</w:t>
            </w:r>
          </w:p>
        </w:tc>
        <w:tc>
          <w:tcPr>
            <w:tcMar>
              <w:top w:w="75.0" w:type="dxa"/>
              <w:bottom w:w="75.0" w:type="dxa"/>
            </w:tcMar>
            <w:vAlign w:val="center"/>
          </w:tcPr>
          <w:p w:rsidR="00000000" w:rsidDel="00000000" w:rsidP="00000000" w:rsidRDefault="00000000" w:rsidRPr="00000000" w14:paraId="0000009E">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sz w:val="15"/>
                <w:szCs w:val="15"/>
                <w:rtl w:val="0"/>
              </w:rPr>
              <w:t xml:space="preserve">Informe de determinantes de la duración de estadía en diagnósticos F00–F99, incluyendo análisis segmentado por sexo y diferencias asociadas a previsión y pertenencia al SNSS, complementado con indicadores oficiales desagregados por sexo para contextualizar los resultados.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9F">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Final</w:t>
            </w:r>
          </w:p>
        </w:tc>
      </w:tr>
      <w:tr>
        <w:trPr>
          <w:cantSplit w:val="1"/>
          <w:tblHeader w:val="0"/>
        </w:trPr>
        <w:tc>
          <w:tcPr>
            <w:tcMar>
              <w:top w:w="75.0" w:type="dxa"/>
              <w:bottom w:w="75.0" w:type="dxa"/>
            </w:tcMar>
            <w:vAlign w:val="center"/>
          </w:tcPr>
          <w:p w:rsidR="00000000" w:rsidDel="00000000" w:rsidP="00000000" w:rsidRDefault="00000000" w:rsidRPr="00000000" w14:paraId="000000A0">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21</w:t>
            </w:r>
          </w:p>
        </w:tc>
        <w:tc>
          <w:tcPr>
            <w:tcMar>
              <w:top w:w="75.0" w:type="dxa"/>
              <w:bottom w:w="75.0" w:type="dxa"/>
            </w:tcMar>
            <w:vAlign w:val="center"/>
          </w:tcPr>
          <w:p w:rsidR="00000000" w:rsidDel="00000000" w:rsidP="00000000" w:rsidRDefault="00000000" w:rsidRPr="00000000" w14:paraId="000000A1">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Plataforma web integrada y desplegada</w:t>
            </w:r>
          </w:p>
        </w:tc>
        <w:tc>
          <w:tcPr>
            <w:tcMar>
              <w:top w:w="75.0" w:type="dxa"/>
              <w:bottom w:w="75.0" w:type="dxa"/>
            </w:tcMar>
            <w:vAlign w:val="center"/>
          </w:tcPr>
          <w:p w:rsidR="00000000" w:rsidDel="00000000" w:rsidP="00000000" w:rsidRDefault="00000000" w:rsidRPr="00000000" w14:paraId="000000A2">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Aplicación funcional (MVP) con URL de acceso, que integra proyección de demanda, accesibilidad territorial y hospitalización en una sola interfaz.</w:t>
            </w:r>
          </w:p>
        </w:tc>
        <w:tc>
          <w:tcPr>
            <w:tcMar>
              <w:top w:w="75.0" w:type="dxa"/>
              <w:bottom w:w="75.0" w:type="dxa"/>
            </w:tcMar>
            <w:vAlign w:val="center"/>
          </w:tcPr>
          <w:p w:rsidR="00000000" w:rsidDel="00000000" w:rsidP="00000000" w:rsidRDefault="00000000" w:rsidRPr="00000000" w14:paraId="000000A3">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Final</w:t>
            </w:r>
          </w:p>
        </w:tc>
      </w:tr>
      <w:tr>
        <w:trPr>
          <w:cantSplit w:val="1"/>
          <w:tblHeader w:val="0"/>
        </w:trPr>
        <w:tc>
          <w:tcPr>
            <w:tcMar>
              <w:top w:w="75.0" w:type="dxa"/>
              <w:bottom w:w="75.0" w:type="dxa"/>
            </w:tcMar>
            <w:vAlign w:val="center"/>
          </w:tcPr>
          <w:p w:rsidR="00000000" w:rsidDel="00000000" w:rsidP="00000000" w:rsidRDefault="00000000" w:rsidRPr="00000000" w14:paraId="000000A4">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22</w:t>
            </w:r>
          </w:p>
        </w:tc>
        <w:tc>
          <w:tcPr>
            <w:tcMar>
              <w:top w:w="75.0" w:type="dxa"/>
              <w:bottom w:w="75.0" w:type="dxa"/>
            </w:tcMar>
            <w:vAlign w:val="center"/>
          </w:tcPr>
          <w:p w:rsidR="00000000" w:rsidDel="00000000" w:rsidP="00000000" w:rsidRDefault="00000000" w:rsidRPr="00000000" w14:paraId="000000A5">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Plan y resultados de pruebas</w:t>
            </w:r>
          </w:p>
        </w:tc>
        <w:tc>
          <w:tcPr>
            <w:tcMar>
              <w:top w:w="75.0" w:type="dxa"/>
              <w:bottom w:w="75.0" w:type="dxa"/>
            </w:tcMar>
            <w:vAlign w:val="center"/>
          </w:tcPr>
          <w:p w:rsidR="00000000" w:rsidDel="00000000" w:rsidP="00000000" w:rsidRDefault="00000000" w:rsidRPr="00000000" w14:paraId="000000A6">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Casos de prueba de datos, modelo, API e interfaz, con resultados obtenidos, incidencias levantadas y correcciones aplicadas.</w:t>
            </w:r>
          </w:p>
        </w:tc>
        <w:tc>
          <w:tcPr>
            <w:tcMar>
              <w:top w:w="75.0" w:type="dxa"/>
              <w:bottom w:w="75.0" w:type="dxa"/>
            </w:tcMar>
            <w:vAlign w:val="center"/>
          </w:tcPr>
          <w:p w:rsidR="00000000" w:rsidDel="00000000" w:rsidP="00000000" w:rsidRDefault="00000000" w:rsidRPr="00000000" w14:paraId="000000A7">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Final</w:t>
            </w:r>
          </w:p>
        </w:tc>
      </w:tr>
      <w:tr>
        <w:trPr>
          <w:cantSplit w:val="1"/>
          <w:tblHeader w:val="0"/>
        </w:trPr>
        <w:tc>
          <w:tcPr>
            <w:tcMar>
              <w:top w:w="75.0" w:type="dxa"/>
              <w:bottom w:w="75.0" w:type="dxa"/>
            </w:tcMar>
            <w:vAlign w:val="center"/>
          </w:tcPr>
          <w:p w:rsidR="00000000" w:rsidDel="00000000" w:rsidP="00000000" w:rsidRDefault="00000000" w:rsidRPr="00000000" w14:paraId="000000A8">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23</w:t>
            </w:r>
          </w:p>
        </w:tc>
        <w:tc>
          <w:tcPr>
            <w:tcMar>
              <w:top w:w="75.0" w:type="dxa"/>
              <w:bottom w:w="75.0" w:type="dxa"/>
            </w:tcMar>
            <w:vAlign w:val="center"/>
          </w:tcPr>
          <w:p w:rsidR="00000000" w:rsidDel="00000000" w:rsidP="00000000" w:rsidRDefault="00000000" w:rsidRPr="00000000" w14:paraId="000000A9">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Informe de validación con usuarios</w:t>
            </w:r>
          </w:p>
        </w:tc>
        <w:tc>
          <w:tcPr>
            <w:tcMar>
              <w:top w:w="75.0" w:type="dxa"/>
              <w:bottom w:w="75.0" w:type="dxa"/>
            </w:tcMar>
            <w:vAlign w:val="center"/>
          </w:tcPr>
          <w:p w:rsidR="00000000" w:rsidDel="00000000" w:rsidP="00000000" w:rsidRDefault="00000000" w:rsidRPr="00000000" w14:paraId="000000AA">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Pauta de validación, resultados de usabilidad y de comprensión de los indicadores, y ajustes derivados del feedback recogido.</w:t>
            </w:r>
          </w:p>
        </w:tc>
        <w:tc>
          <w:tcPr>
            <w:tcMar>
              <w:top w:w="75.0" w:type="dxa"/>
              <w:bottom w:w="75.0" w:type="dxa"/>
            </w:tcMar>
            <w:vAlign w:val="center"/>
          </w:tcPr>
          <w:p w:rsidR="00000000" w:rsidDel="00000000" w:rsidP="00000000" w:rsidRDefault="00000000" w:rsidRPr="00000000" w14:paraId="000000AB">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Final</w:t>
            </w:r>
          </w:p>
        </w:tc>
      </w:tr>
      <w:tr>
        <w:trPr>
          <w:cantSplit w:val="1"/>
          <w:tblHeader w:val="0"/>
        </w:trPr>
        <w:tc>
          <w:tcPr>
            <w:tcMar>
              <w:top w:w="75.0" w:type="dxa"/>
              <w:bottom w:w="75.0" w:type="dxa"/>
            </w:tcMar>
            <w:vAlign w:val="center"/>
          </w:tcPr>
          <w:p w:rsidR="00000000" w:rsidDel="00000000" w:rsidP="00000000" w:rsidRDefault="00000000" w:rsidRPr="00000000" w14:paraId="000000AC">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24</w:t>
            </w:r>
          </w:p>
        </w:tc>
        <w:tc>
          <w:tcPr>
            <w:tcMar>
              <w:top w:w="75.0" w:type="dxa"/>
              <w:bottom w:w="75.0" w:type="dxa"/>
            </w:tcMar>
            <w:vAlign w:val="center"/>
          </w:tcPr>
          <w:p w:rsidR="00000000" w:rsidDel="00000000" w:rsidP="00000000" w:rsidRDefault="00000000" w:rsidRPr="00000000" w14:paraId="000000AD">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Documentación técnica y manual de usuario</w:t>
            </w:r>
          </w:p>
        </w:tc>
        <w:tc>
          <w:tcPr>
            <w:tcMar>
              <w:top w:w="75.0" w:type="dxa"/>
              <w:bottom w:w="75.0" w:type="dxa"/>
            </w:tcMar>
            <w:vAlign w:val="center"/>
          </w:tcPr>
          <w:p w:rsidR="00000000" w:rsidDel="00000000" w:rsidP="00000000" w:rsidRDefault="00000000" w:rsidRPr="00000000" w14:paraId="000000AE">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README, guía de instalación y despliegue, documentación de la API y manual de uso de la plataforma.</w:t>
            </w:r>
          </w:p>
        </w:tc>
        <w:tc>
          <w:tcPr>
            <w:tcMar>
              <w:top w:w="75.0" w:type="dxa"/>
              <w:bottom w:w="75.0" w:type="dxa"/>
            </w:tcMar>
            <w:vAlign w:val="center"/>
          </w:tcPr>
          <w:p w:rsidR="00000000" w:rsidDel="00000000" w:rsidP="00000000" w:rsidRDefault="00000000" w:rsidRPr="00000000" w14:paraId="000000AF">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Final</w:t>
            </w:r>
          </w:p>
        </w:tc>
      </w:tr>
      <w:tr>
        <w:trPr>
          <w:cantSplit w:val="1"/>
          <w:tblHeader w:val="0"/>
        </w:trPr>
        <w:tc>
          <w:tcPr>
            <w:tcMar>
              <w:top w:w="75.0" w:type="dxa"/>
              <w:bottom w:w="75.0" w:type="dxa"/>
            </w:tcMar>
            <w:vAlign w:val="center"/>
          </w:tcPr>
          <w:p w:rsidR="00000000" w:rsidDel="00000000" w:rsidP="00000000" w:rsidRDefault="00000000" w:rsidRPr="00000000" w14:paraId="000000B0">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25</w:t>
            </w:r>
          </w:p>
        </w:tc>
        <w:tc>
          <w:tcPr>
            <w:tcMar>
              <w:top w:w="75.0" w:type="dxa"/>
              <w:bottom w:w="75.0" w:type="dxa"/>
            </w:tcMar>
            <w:vAlign w:val="center"/>
          </w:tcPr>
          <w:p w:rsidR="00000000" w:rsidDel="00000000" w:rsidP="00000000" w:rsidRDefault="00000000" w:rsidRPr="00000000" w14:paraId="000000B1">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Video demostrativo</w:t>
            </w:r>
          </w:p>
        </w:tc>
        <w:tc>
          <w:tcPr>
            <w:tcMar>
              <w:top w:w="75.0" w:type="dxa"/>
              <w:bottom w:w="75.0" w:type="dxa"/>
            </w:tcMar>
            <w:vAlign w:val="center"/>
          </w:tcPr>
          <w:p w:rsidR="00000000" w:rsidDel="00000000" w:rsidP="00000000" w:rsidRDefault="00000000" w:rsidRPr="00000000" w14:paraId="000000B2">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Registro audiovisual breve del recorrido funcional de la plataforma y de sus principales resultados.</w:t>
            </w:r>
          </w:p>
        </w:tc>
        <w:tc>
          <w:tcPr>
            <w:tcMar>
              <w:top w:w="75.0" w:type="dxa"/>
              <w:bottom w:w="75.0" w:type="dxa"/>
            </w:tcMar>
            <w:vAlign w:val="center"/>
          </w:tcPr>
          <w:p w:rsidR="00000000" w:rsidDel="00000000" w:rsidP="00000000" w:rsidRDefault="00000000" w:rsidRPr="00000000" w14:paraId="000000B3">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Final</w:t>
            </w:r>
          </w:p>
        </w:tc>
      </w:tr>
      <w:tr>
        <w:trPr>
          <w:cantSplit w:val="1"/>
          <w:tblHeader w:val="0"/>
        </w:trPr>
        <w:tc>
          <w:tcPr>
            <w:tcMar>
              <w:top w:w="75.0" w:type="dxa"/>
              <w:bottom w:w="75.0" w:type="dxa"/>
            </w:tcMar>
            <w:vAlign w:val="center"/>
          </w:tcPr>
          <w:p w:rsidR="00000000" w:rsidDel="00000000" w:rsidP="00000000" w:rsidRDefault="00000000" w:rsidRPr="00000000" w14:paraId="000000B4">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26</w:t>
            </w:r>
          </w:p>
        </w:tc>
        <w:tc>
          <w:tcPr>
            <w:tcMar>
              <w:top w:w="75.0" w:type="dxa"/>
              <w:bottom w:w="75.0" w:type="dxa"/>
            </w:tcMar>
            <w:vAlign w:val="center"/>
          </w:tcPr>
          <w:p w:rsidR="00000000" w:rsidDel="00000000" w:rsidP="00000000" w:rsidRDefault="00000000" w:rsidRPr="00000000" w14:paraId="000000B5">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Informe de avance e informe final</w:t>
            </w:r>
          </w:p>
        </w:tc>
        <w:tc>
          <w:tcPr>
            <w:tcMar>
              <w:top w:w="75.0" w:type="dxa"/>
              <w:bottom w:w="75.0" w:type="dxa"/>
            </w:tcMar>
            <w:vAlign w:val="center"/>
          </w:tcPr>
          <w:p w:rsidR="00000000" w:rsidDel="00000000" w:rsidP="00000000" w:rsidRDefault="00000000" w:rsidRPr="00000000" w14:paraId="000000B6">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Documentos formales de cierre de cada fase, con resultados, supuestos, limitaciones y backlog de mejoras futuras.</w:t>
            </w:r>
          </w:p>
        </w:tc>
        <w:tc>
          <w:tcPr>
            <w:tcMar>
              <w:top w:w="75.0" w:type="dxa"/>
              <w:bottom w:w="75.0" w:type="dxa"/>
            </w:tcMar>
            <w:vAlign w:val="center"/>
          </w:tcPr>
          <w:p w:rsidR="00000000" w:rsidDel="00000000" w:rsidP="00000000" w:rsidRDefault="00000000" w:rsidRPr="00000000" w14:paraId="000000B7">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Avance y final</w:t>
            </w:r>
          </w:p>
        </w:tc>
      </w:tr>
      <w:tr>
        <w:trPr>
          <w:cantSplit w:val="1"/>
          <w:tblHeader w:val="0"/>
        </w:trPr>
        <w:tc>
          <w:tcPr>
            <w:tcMar>
              <w:top w:w="75.0" w:type="dxa"/>
              <w:bottom w:w="75.0" w:type="dxa"/>
            </w:tcMar>
            <w:vAlign w:val="center"/>
          </w:tcPr>
          <w:p w:rsidR="00000000" w:rsidDel="00000000" w:rsidP="00000000" w:rsidRDefault="00000000" w:rsidRPr="00000000" w14:paraId="000000B8">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27</w:t>
            </w:r>
          </w:p>
        </w:tc>
        <w:tc>
          <w:tcPr>
            <w:tcMar>
              <w:top w:w="75.0" w:type="dxa"/>
              <w:bottom w:w="75.0" w:type="dxa"/>
            </w:tcMar>
            <w:vAlign w:val="center"/>
          </w:tcPr>
          <w:p w:rsidR="00000000" w:rsidDel="00000000" w:rsidP="00000000" w:rsidRDefault="00000000" w:rsidRPr="00000000" w14:paraId="000000B9">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Presentación y defensa final</w:t>
            </w:r>
          </w:p>
        </w:tc>
        <w:tc>
          <w:tcPr>
            <w:tcMar>
              <w:top w:w="75.0" w:type="dxa"/>
              <w:bottom w:w="75.0" w:type="dxa"/>
            </w:tcMar>
            <w:vAlign w:val="center"/>
          </w:tcPr>
          <w:p w:rsidR="00000000" w:rsidDel="00000000" w:rsidP="00000000" w:rsidRDefault="00000000" w:rsidRPr="00000000" w14:paraId="000000BA">
            <w:pPr>
              <w:spacing w:after="40" w:before="0" w:line="252.00000000000003" w:lineRule="auto"/>
              <w:jc w:val="both"/>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Set de diapositivas y guión de la exposición de cierre del Proyecto APT.</w:t>
            </w:r>
          </w:p>
        </w:tc>
        <w:tc>
          <w:tcPr>
            <w:tcMar>
              <w:top w:w="75.0" w:type="dxa"/>
              <w:bottom w:w="75.0" w:type="dxa"/>
            </w:tcMar>
            <w:vAlign w:val="center"/>
          </w:tcPr>
          <w:p w:rsidR="00000000" w:rsidDel="00000000" w:rsidP="00000000" w:rsidRDefault="00000000" w:rsidRPr="00000000" w14:paraId="000000BB">
            <w:pPr>
              <w:spacing w:after="40" w:before="0" w:line="252.00000000000003" w:lineRule="auto"/>
              <w:jc w:val="center"/>
              <w:rPr>
                <w:rFonts w:ascii="Arial" w:cs="Arial" w:eastAsia="Arial" w:hAnsi="Arial"/>
                <w:b w:val="0"/>
                <w:bCs w:val="0"/>
                <w:i w:val="0"/>
                <w:iCs w:val="0"/>
                <w:color w:val="000000"/>
                <w:sz w:val="15"/>
                <w:szCs w:val="15"/>
              </w:rPr>
            </w:pPr>
            <w:r w:rsidDel="00000000" w:rsidR="00000000" w:rsidRPr="00000000">
              <w:rPr>
                <w:rFonts w:ascii="Arial" w:cs="Arial" w:eastAsia="Arial" w:hAnsi="Arial"/>
                <w:b w:val="0"/>
                <w:bCs w:val="0"/>
                <w:i w:val="0"/>
                <w:iCs w:val="0"/>
                <w:color w:val="000000"/>
                <w:sz w:val="15"/>
                <w:szCs w:val="15"/>
                <w:rtl w:val="0"/>
              </w:rPr>
              <w:t xml:space="preserve">Final</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blHeader w:val="0"/>
        </w:trPr>
        <w:tc>
          <w:tcPr>
            <w:tcMar>
              <w:top w:w="75.0" w:type="dxa"/>
              <w:bottom w:w="75.0" w:type="dxa"/>
            </w:tcMar>
            <w:vAlign w:val="center"/>
          </w:tcPr>
          <w:p w:rsidR="00000000" w:rsidDel="00000000" w:rsidP="00000000" w:rsidRDefault="00000000" w:rsidRPr="00000000" w14:paraId="000000B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blHeader w:val="0"/>
        </w:trPr>
        <w:tc>
          <w:tcPr>
            <w:shd w:fill="d9e2f3" w:val="clear"/>
            <w:tcMar>
              <w:top w:w="75.0" w:type="dxa"/>
              <w:bottom w:w="75.0" w:type="dxa"/>
            </w:tcM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560"/>
        <w:gridCol w:w="1590"/>
        <w:gridCol w:w="1575"/>
        <w:tblGridChange w:id="0">
          <w:tblGrid>
            <w:gridCol w:w="1575"/>
            <w:gridCol w:w="1575"/>
            <w:gridCol w:w="1575"/>
            <w:gridCol w:w="1575"/>
            <w:gridCol w:w="1560"/>
            <w:gridCol w:w="1590"/>
            <w:gridCol w:w="1575"/>
          </w:tblGrid>
        </w:tblGridChange>
      </w:tblGrid>
      <w:tr>
        <w:trPr>
          <w:cantSplit w:val="0"/>
          <w:tblHeader w:val="0"/>
        </w:trPr>
        <w:tc>
          <w:tcPr>
            <w:gridSpan w:val="7"/>
            <w:tcMar>
              <w:top w:w="75.0" w:type="dxa"/>
              <w:bottom w:w="75.0" w:type="dxa"/>
            </w:tcMar>
          </w:tcPr>
          <w:p w:rsidR="00000000" w:rsidDel="00000000" w:rsidP="00000000" w:rsidRDefault="00000000" w:rsidRPr="00000000" w14:paraId="000000C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1"/>
        </w:trPr>
        <w:tc>
          <w:tcPr>
            <w:tcMar>
              <w:top w:w="75.0" w:type="dxa"/>
              <w:bottom w:w="75.0" w:type="dxa"/>
            </w:tcMar>
          </w:tcPr>
          <w:p w:rsidR="00000000" w:rsidDel="00000000" w:rsidP="00000000" w:rsidRDefault="00000000" w:rsidRPr="00000000" w14:paraId="000000C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Mar>
              <w:top w:w="75.0" w:type="dxa"/>
              <w:bottom w:w="75.0" w:type="dxa"/>
            </w:tcMar>
            <w:vAlign w:val="center"/>
          </w:tcPr>
          <w:p w:rsidR="00000000" w:rsidDel="00000000" w:rsidP="00000000" w:rsidRDefault="00000000" w:rsidRPr="00000000" w14:paraId="000000C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Mar>
              <w:top w:w="75.0" w:type="dxa"/>
              <w:bottom w:w="75.0" w:type="dxa"/>
            </w:tcMar>
            <w:vAlign w:val="center"/>
          </w:tcPr>
          <w:p w:rsidR="00000000" w:rsidDel="00000000" w:rsidP="00000000" w:rsidRDefault="00000000" w:rsidRPr="00000000" w14:paraId="000000C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Mar>
              <w:top w:w="75.0" w:type="dxa"/>
              <w:bottom w:w="75.0" w:type="dxa"/>
            </w:tcMar>
            <w:vAlign w:val="center"/>
          </w:tcPr>
          <w:p w:rsidR="00000000" w:rsidDel="00000000" w:rsidP="00000000" w:rsidRDefault="00000000" w:rsidRPr="00000000" w14:paraId="000000C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tcMar>
              <w:top w:w="75.0" w:type="dxa"/>
              <w:bottom w:w="75.0" w:type="dxa"/>
            </w:tcMar>
            <w:vAlign w:val="center"/>
          </w:tcPr>
          <w:p w:rsidR="00000000" w:rsidDel="00000000" w:rsidP="00000000" w:rsidRDefault="00000000" w:rsidRPr="00000000" w14:paraId="000000C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tentativa de la actividad (la definici</w:t>
            </w:r>
            <w:r w:rsidDel="00000000" w:rsidR="00000000" w:rsidRPr="00000000">
              <w:rPr>
                <w:color w:val="1f3864"/>
                <w:rtl w:val="0"/>
              </w:rPr>
              <w:t xml:space="preserve">ón firme con fechas exactas se hace en el Roadmap del proyecto</w:t>
            </w:r>
            <w:r w:rsidDel="00000000" w:rsidR="00000000" w:rsidRPr="00000000">
              <w:rPr>
                <w:rFonts w:ascii="Calibri" w:cs="Calibri" w:eastAsia="Calibri" w:hAnsi="Calibri"/>
                <w:color w:val="1f3864"/>
                <w:rtl w:val="0"/>
              </w:rPr>
              <w:t xml:space="preserve">)</w:t>
            </w:r>
          </w:p>
          <w:p w:rsidR="00000000" w:rsidDel="00000000" w:rsidP="00000000" w:rsidRDefault="00000000" w:rsidRPr="00000000" w14:paraId="000000C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tcMar>
              <w:top w:w="75.0" w:type="dxa"/>
              <w:bottom w:w="75.0" w:type="dxa"/>
            </w:tcMar>
            <w:vAlign w:val="center"/>
          </w:tcPr>
          <w:p w:rsidR="00000000" w:rsidDel="00000000" w:rsidP="00000000" w:rsidRDefault="00000000" w:rsidRPr="00000000" w14:paraId="000000C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1"/>
          <w:tblHeader w:val="0"/>
        </w:trPr>
        <w:tc>
          <w:tcPr>
            <w:tcMar>
              <w:top w:w="75.0" w:type="dxa"/>
              <w:bottom w:w="75.0" w:type="dxa"/>
            </w:tcMar>
            <w:vAlign w:val="center"/>
          </w:tcPr>
          <w:p w:rsidR="00000000" w:rsidDel="00000000" w:rsidP="00000000" w:rsidRDefault="00000000" w:rsidRPr="00000000" w14:paraId="000000D0">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Requisitos y gestión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1">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Validación de alcance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2">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Consolidar problema, usuarios, cliente piloto, requisitos, criterios de éxito y riesgos.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3">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Meet, bitácora, GitHub Projects</w:t>
            </w:r>
            <w:r w:rsidDel="00000000" w:rsidR="00000000" w:rsidRPr="00000000">
              <w:rPr>
                <w:rtl w:val="0"/>
              </w:rPr>
            </w:r>
          </w:p>
        </w:tc>
        <w:tc>
          <w:tcPr>
            <w:tcBorders>
              <w:right w:color="ffffff" w:space="0" w:sz="4" w:val="single"/>
            </w:tcBorders>
            <w:tcMar>
              <w:top w:w="75.0" w:type="dxa"/>
              <w:bottom w:w="75.0" w:type="dxa"/>
            </w:tcMar>
            <w:vAlign w:val="center"/>
          </w:tcPr>
          <w:p w:rsidR="00000000" w:rsidDel="00000000" w:rsidP="00000000" w:rsidRDefault="00000000" w:rsidRPr="00000000" w14:paraId="000000D4">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S1–S3</w:t>
            </w:r>
            <w:r w:rsidDel="00000000" w:rsidR="00000000" w:rsidRPr="00000000">
              <w:rPr>
                <w:rtl w:val="0"/>
              </w:rPr>
            </w:r>
          </w:p>
        </w:tc>
        <w:tc>
          <w:tcPr>
            <w:tcBorders>
              <w:left w:color="ffffff" w:space="0" w:sz="4" w:val="single"/>
            </w:tcBorders>
            <w:shd w:fill="d9d9d9" w:val="clear"/>
            <w:tcMar>
              <w:top w:w="75.0" w:type="dxa"/>
              <w:bottom w:w="75.0" w:type="dxa"/>
            </w:tcMar>
            <w:vAlign w:val="center"/>
          </w:tcPr>
          <w:p w:rsidR="00000000" w:rsidDel="00000000" w:rsidP="00000000" w:rsidRDefault="00000000" w:rsidRPr="00000000" w14:paraId="000000D5">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Camila </w:t>
            </w:r>
            <w:r w:rsidDel="00000000" w:rsidR="00000000" w:rsidRPr="00000000">
              <w:rPr>
                <w:rFonts w:ascii="Arial" w:cs="Arial" w:eastAsia="Arial" w:hAnsi="Arial"/>
                <w:sz w:val="15"/>
                <w:szCs w:val="15"/>
                <w:rtl w:val="0"/>
              </w:rPr>
              <w:t xml:space="preserve">Aroca</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6">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Validar con la profesora antes de dividir el trabajo.</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D7">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Datos y calidad</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8">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Auditoría de fuentes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9">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Perfilar las dos bases DEIS/MINSAL; revisar cobertura, subregistro, resolución diagnóstica y diccionario.</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A">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Python, SQL, DEIS</w:t>
            </w:r>
            <w:r w:rsidDel="00000000" w:rsidR="00000000" w:rsidRPr="00000000">
              <w:rPr>
                <w:rtl w:val="0"/>
              </w:rPr>
            </w:r>
          </w:p>
        </w:tc>
        <w:tc>
          <w:tcPr>
            <w:tcBorders>
              <w:right w:color="ffffff" w:space="0" w:sz="4" w:val="single"/>
            </w:tcBorders>
            <w:tcMar>
              <w:top w:w="75.0" w:type="dxa"/>
              <w:bottom w:w="75.0" w:type="dxa"/>
            </w:tcMar>
            <w:vAlign w:val="center"/>
          </w:tcPr>
          <w:p w:rsidR="00000000" w:rsidDel="00000000" w:rsidP="00000000" w:rsidRDefault="00000000" w:rsidRPr="00000000" w14:paraId="000000DB">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S2–S4</w:t>
            </w:r>
            <w:r w:rsidDel="00000000" w:rsidR="00000000" w:rsidRPr="00000000">
              <w:rPr>
                <w:rtl w:val="0"/>
              </w:rPr>
            </w:r>
          </w:p>
        </w:tc>
        <w:tc>
          <w:tcPr>
            <w:tcBorders>
              <w:left w:color="ffffff" w:space="0" w:sz="4" w:val="single"/>
            </w:tcBorders>
            <w:shd w:fill="d9d9d9" w:val="clear"/>
            <w:tcMar>
              <w:top w:w="75.0" w:type="dxa"/>
              <w:bottom w:w="75.0" w:type="dxa"/>
            </w:tcMar>
            <w:vAlign w:val="center"/>
          </w:tcPr>
          <w:p w:rsidR="00000000" w:rsidDel="00000000" w:rsidP="00000000" w:rsidRDefault="00000000" w:rsidRPr="00000000" w14:paraId="000000DC">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Camila Aroca</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D">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Confirmar qué diagnósticos y establecimientos permiten modelar.</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DE">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Diseño de software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F">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Prototipo</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0">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Diseñar flujos</w:t>
            </w:r>
            <w:r w:rsidDel="00000000" w:rsidR="00000000" w:rsidRPr="00000000">
              <w:rPr>
                <w:rFonts w:ascii="Arial" w:cs="Arial" w:eastAsia="Arial" w:hAnsi="Arial"/>
                <w:sz w:val="15"/>
                <w:szCs w:val="15"/>
                <w:rtl w:val="0"/>
              </w:rPr>
              <w:t xml:space="preserve"> y pantallas del sistema</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1">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Figma/diagramas, Git</w:t>
            </w:r>
            <w:r w:rsidDel="00000000" w:rsidR="00000000" w:rsidRPr="00000000">
              <w:rPr>
                <w:rtl w:val="0"/>
              </w:rPr>
            </w:r>
          </w:p>
        </w:tc>
        <w:tc>
          <w:tcPr>
            <w:tcBorders>
              <w:right w:color="ffffff" w:space="0" w:sz="4" w:val="single"/>
            </w:tcBorders>
            <w:tcMar>
              <w:top w:w="75.0" w:type="dxa"/>
              <w:bottom w:w="75.0" w:type="dxa"/>
            </w:tcMar>
            <w:vAlign w:val="center"/>
          </w:tcPr>
          <w:p w:rsidR="00000000" w:rsidDel="00000000" w:rsidP="00000000" w:rsidRDefault="00000000" w:rsidRPr="00000000" w14:paraId="000000E2">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S3–S5</w:t>
            </w:r>
            <w:r w:rsidDel="00000000" w:rsidR="00000000" w:rsidRPr="00000000">
              <w:rPr>
                <w:rtl w:val="0"/>
              </w:rPr>
            </w:r>
          </w:p>
        </w:tc>
        <w:tc>
          <w:tcPr>
            <w:tcBorders>
              <w:left w:color="ffffff" w:space="0" w:sz="4" w:val="single"/>
            </w:tcBorders>
            <w:shd w:fill="d9d9d9" w:val="clear"/>
            <w:tcMar>
              <w:top w:w="75.0" w:type="dxa"/>
              <w:bottom w:w="75.0" w:type="dxa"/>
            </w:tcMar>
            <w:vAlign w:val="center"/>
          </w:tcPr>
          <w:p w:rsidR="00000000" w:rsidDel="00000000" w:rsidP="00000000" w:rsidRDefault="00000000" w:rsidRPr="00000000" w14:paraId="000000E3">
            <w:pPr>
              <w:spacing w:after="40" w:before="0" w:line="252.00000000000003" w:lineRule="auto"/>
              <w:jc w:val="left"/>
              <w:rPr/>
            </w:pPr>
            <w:r w:rsidDel="00000000" w:rsidR="00000000" w:rsidRPr="00000000">
              <w:rPr>
                <w:rFonts w:ascii="Arial" w:cs="Arial" w:eastAsia="Arial" w:hAnsi="Arial"/>
                <w:sz w:val="15"/>
                <w:szCs w:val="15"/>
                <w:rtl w:val="0"/>
              </w:rPr>
              <w:t xml:space="preserve">Christopher Rojas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4">
            <w:pPr>
              <w:spacing w:after="40" w:before="0" w:line="252.00000000000003" w:lineRule="auto"/>
              <w:jc w:val="left"/>
              <w:rPr/>
            </w:pPr>
            <w:r w:rsidDel="00000000" w:rsidR="00000000" w:rsidRPr="00000000">
              <w:rPr>
                <w:rFonts w:ascii="Arial" w:cs="Arial" w:eastAsia="Arial" w:hAnsi="Arial"/>
                <w:sz w:val="15"/>
                <w:szCs w:val="15"/>
                <w:rtl w:val="0"/>
              </w:rPr>
              <w:t xml:space="preserve">SAAD</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E5">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sz w:val="15"/>
                <w:szCs w:val="15"/>
                <w:rtl w:val="0"/>
              </w:rPr>
              <w:t xml:space="preserve">Diseño de Arquitectura</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6">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sz w:val="15"/>
                <w:szCs w:val="15"/>
                <w:rtl w:val="0"/>
              </w:rPr>
              <w:t xml:space="preserve">Diagrama de Arquitectura</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7">
            <w:pPr>
              <w:spacing w:after="40" w:line="252.00000000000003" w:lineRule="auto"/>
              <w:rPr>
                <w:rFonts w:ascii="Arial" w:cs="Arial" w:eastAsia="Arial" w:hAnsi="Arial"/>
                <w:b w:val="0"/>
                <w:bCs w:val="0"/>
                <w:i w:val="0"/>
                <w:iCs w:val="0"/>
                <w:color w:val="000000"/>
                <w:sz w:val="15"/>
                <w:szCs w:val="15"/>
              </w:rPr>
            </w:pPr>
            <w:r w:rsidDel="00000000" w:rsidR="00000000" w:rsidRPr="00000000">
              <w:rPr>
                <w:rFonts w:ascii="Arial" w:cs="Arial" w:eastAsia="Arial" w:hAnsi="Arial"/>
                <w:sz w:val="15"/>
                <w:szCs w:val="15"/>
                <w:rtl w:val="0"/>
              </w:rPr>
              <w:t xml:space="preserve">Diseñar arquitectura y componentes.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8">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sz w:val="15"/>
                <w:szCs w:val="15"/>
                <w:rtl w:val="0"/>
              </w:rPr>
              <w:t xml:space="preserve">Diagrama en Draw.io</w:t>
            </w:r>
            <w:r w:rsidDel="00000000" w:rsidR="00000000" w:rsidRPr="00000000">
              <w:rPr>
                <w:rtl w:val="0"/>
              </w:rPr>
            </w:r>
          </w:p>
        </w:tc>
        <w:tc>
          <w:tcPr>
            <w:tcBorders>
              <w:right w:color="ffffff" w:space="0" w:sz="4" w:val="single"/>
            </w:tcBorders>
            <w:tcMar>
              <w:top w:w="75.0" w:type="dxa"/>
              <w:bottom w:w="75.0" w:type="dxa"/>
            </w:tcMar>
            <w:vAlign w:val="center"/>
          </w:tcPr>
          <w:p w:rsidR="00000000" w:rsidDel="00000000" w:rsidP="00000000" w:rsidRDefault="00000000" w:rsidRPr="00000000" w14:paraId="000000E9">
            <w:pPr>
              <w:spacing w:after="40" w:line="252.00000000000003" w:lineRule="auto"/>
              <w:rPr>
                <w:rFonts w:ascii="Arial" w:cs="Arial" w:eastAsia="Arial" w:hAnsi="Arial"/>
                <w:b w:val="0"/>
                <w:bCs w:val="0"/>
                <w:i w:val="0"/>
                <w:iCs w:val="0"/>
                <w:color w:val="000000"/>
                <w:sz w:val="15"/>
                <w:szCs w:val="15"/>
              </w:rPr>
            </w:pPr>
            <w:r w:rsidDel="00000000" w:rsidR="00000000" w:rsidRPr="00000000">
              <w:rPr>
                <w:rFonts w:ascii="Arial" w:cs="Arial" w:eastAsia="Arial" w:hAnsi="Arial"/>
                <w:sz w:val="15"/>
                <w:szCs w:val="15"/>
                <w:rtl w:val="0"/>
              </w:rPr>
              <w:t xml:space="preserve">S4–S5</w:t>
            </w:r>
            <w:r w:rsidDel="00000000" w:rsidR="00000000" w:rsidRPr="00000000">
              <w:rPr>
                <w:rtl w:val="0"/>
              </w:rPr>
            </w:r>
          </w:p>
        </w:tc>
        <w:tc>
          <w:tcPr>
            <w:tcBorders>
              <w:left w:color="ffffff" w:space="0" w:sz="4" w:val="single"/>
            </w:tcBorders>
            <w:shd w:fill="d9d9d9" w:val="clear"/>
            <w:tcMar>
              <w:top w:w="75.0" w:type="dxa"/>
              <w:bottom w:w="75.0" w:type="dxa"/>
            </w:tcMar>
            <w:vAlign w:val="center"/>
          </w:tcPr>
          <w:p w:rsidR="00000000" w:rsidDel="00000000" w:rsidP="00000000" w:rsidRDefault="00000000" w:rsidRPr="00000000" w14:paraId="000000EA">
            <w:pPr>
              <w:spacing w:after="40" w:before="0" w:line="252.00000000000003" w:lineRule="auto"/>
              <w:jc w:val="left"/>
              <w:rPr>
                <w:rFonts w:ascii="Arial" w:cs="Arial" w:eastAsia="Arial" w:hAnsi="Arial"/>
                <w:sz w:val="15"/>
                <w:szCs w:val="15"/>
              </w:rPr>
            </w:pPr>
            <w:r w:rsidDel="00000000" w:rsidR="00000000" w:rsidRPr="00000000">
              <w:rPr>
                <w:rFonts w:ascii="Arial" w:cs="Arial" w:eastAsia="Arial" w:hAnsi="Arial"/>
                <w:sz w:val="15"/>
                <w:szCs w:val="15"/>
                <w:rtl w:val="0"/>
              </w:rPr>
              <w:t xml:space="preserve">Catalina Rodríguez</w:t>
            </w:r>
          </w:p>
        </w:tc>
        <w:tc>
          <w:tcPr>
            <w:tcMar>
              <w:top w:w="75.0" w:type="dxa"/>
              <w:bottom w:w="75.0" w:type="dxa"/>
            </w:tcMar>
            <w:vAlign w:val="center"/>
          </w:tcPr>
          <w:p w:rsidR="00000000" w:rsidDel="00000000" w:rsidP="00000000" w:rsidRDefault="00000000" w:rsidRPr="00000000" w14:paraId="000000EB">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EC">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Ingeniería de datos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D">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Pipeline reproducible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E">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Implementar ingesta, limpieza, normalización, agregaciones, trazabilidad y pruebas de datos.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EF">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Python, SQL, BD/cloud</w:t>
            </w:r>
            <w:r w:rsidDel="00000000" w:rsidR="00000000" w:rsidRPr="00000000">
              <w:rPr>
                <w:rtl w:val="0"/>
              </w:rPr>
            </w:r>
          </w:p>
        </w:tc>
        <w:tc>
          <w:tcPr>
            <w:tcBorders>
              <w:right w:color="ffffff" w:space="0" w:sz="4" w:val="single"/>
            </w:tcBorders>
            <w:tcMar>
              <w:top w:w="75.0" w:type="dxa"/>
              <w:bottom w:w="75.0" w:type="dxa"/>
            </w:tcMar>
            <w:vAlign w:val="center"/>
          </w:tcPr>
          <w:p w:rsidR="00000000" w:rsidDel="00000000" w:rsidP="00000000" w:rsidRDefault="00000000" w:rsidRPr="00000000" w14:paraId="000000F0">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S4–S8</w:t>
            </w:r>
            <w:r w:rsidDel="00000000" w:rsidR="00000000" w:rsidRPr="00000000">
              <w:rPr>
                <w:rtl w:val="0"/>
              </w:rPr>
            </w:r>
          </w:p>
        </w:tc>
        <w:tc>
          <w:tcPr>
            <w:tcBorders>
              <w:left w:color="ffffff" w:space="0" w:sz="4" w:val="single"/>
            </w:tcBorders>
            <w:shd w:fill="d9d9d9" w:val="clear"/>
            <w:tcMar>
              <w:top w:w="75.0" w:type="dxa"/>
              <w:bottom w:w="75.0" w:type="dxa"/>
            </w:tcMar>
            <w:vAlign w:val="center"/>
          </w:tcPr>
          <w:p w:rsidR="00000000" w:rsidDel="00000000" w:rsidP="00000000" w:rsidRDefault="00000000" w:rsidRPr="00000000" w14:paraId="000000F1">
            <w:pPr>
              <w:spacing w:after="40" w:before="0" w:line="252.00000000000003" w:lineRule="auto"/>
              <w:jc w:val="left"/>
              <w:rPr/>
            </w:pPr>
            <w:r w:rsidDel="00000000" w:rsidR="00000000" w:rsidRPr="00000000">
              <w:rPr>
                <w:rFonts w:ascii="Arial" w:cs="Arial" w:eastAsia="Arial" w:hAnsi="Arial"/>
                <w:sz w:val="15"/>
                <w:szCs w:val="15"/>
                <w:rtl w:val="0"/>
              </w:rPr>
              <w:t xml:space="preserve">Felipe Rivera</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2">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Mantener separadas las granularidades de urgencias y egresos.</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F3">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Data Science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4">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Modelo de demanda</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5">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Entrenar y evaluar proyección a 4–8 semanas con intervalos, backtesting y baseline estacional.</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6">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Python, series de tiempo</w:t>
            </w:r>
            <w:r w:rsidDel="00000000" w:rsidR="00000000" w:rsidRPr="00000000">
              <w:rPr>
                <w:rtl w:val="0"/>
              </w:rPr>
            </w:r>
          </w:p>
        </w:tc>
        <w:tc>
          <w:tcPr>
            <w:tcBorders>
              <w:right w:color="ffffff" w:space="0" w:sz="4" w:val="single"/>
            </w:tcBorders>
            <w:tcMar>
              <w:top w:w="75.0" w:type="dxa"/>
              <w:bottom w:w="75.0" w:type="dxa"/>
            </w:tcMar>
            <w:vAlign w:val="center"/>
          </w:tcPr>
          <w:p w:rsidR="00000000" w:rsidDel="00000000" w:rsidP="00000000" w:rsidRDefault="00000000" w:rsidRPr="00000000" w14:paraId="000000F7">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S6–S10</w:t>
            </w:r>
            <w:r w:rsidDel="00000000" w:rsidR="00000000" w:rsidRPr="00000000">
              <w:rPr>
                <w:rtl w:val="0"/>
              </w:rPr>
            </w:r>
          </w:p>
        </w:tc>
        <w:tc>
          <w:tcPr>
            <w:tcBorders>
              <w:left w:color="ffffff" w:space="0" w:sz="4" w:val="single"/>
            </w:tcBorders>
            <w:shd w:fill="d9d9d9" w:val="clear"/>
            <w:tcMar>
              <w:top w:w="75.0" w:type="dxa"/>
              <w:bottom w:w="75.0" w:type="dxa"/>
            </w:tcMar>
            <w:vAlign w:val="center"/>
          </w:tcPr>
          <w:p w:rsidR="00000000" w:rsidDel="00000000" w:rsidP="00000000" w:rsidRDefault="00000000" w:rsidRPr="00000000" w14:paraId="000000F8">
            <w:pPr>
              <w:spacing w:after="40" w:before="0" w:line="252.00000000000003" w:lineRule="auto"/>
              <w:jc w:val="left"/>
              <w:rPr/>
            </w:pPr>
            <w:r w:rsidDel="00000000" w:rsidR="00000000" w:rsidRPr="00000000">
              <w:rPr>
                <w:rFonts w:ascii="Arial" w:cs="Arial" w:eastAsia="Arial" w:hAnsi="Arial"/>
                <w:sz w:val="15"/>
                <w:szCs w:val="15"/>
                <w:rtl w:val="0"/>
              </w:rPr>
              <w:t xml:space="preserve">Felipe Rivera</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9">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Ajustar según longitud y calidad efectiva de la serie.</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0FA">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Análisis geoespacial</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B">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Accesibilidad territorial</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C">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Georreferenciar establecimientos, calcular isócronas OSM/GTFS y estimar cobertura y brechas comunales.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D">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Python</w:t>
            </w:r>
            <w:r w:rsidDel="00000000" w:rsidR="00000000" w:rsidRPr="00000000">
              <w:rPr>
                <w:rtl w:val="0"/>
              </w:rPr>
            </w:r>
          </w:p>
        </w:tc>
        <w:tc>
          <w:tcPr>
            <w:tcBorders>
              <w:right w:color="ffffff" w:space="0" w:sz="4" w:val="single"/>
            </w:tcBorders>
            <w:tcMar>
              <w:top w:w="75.0" w:type="dxa"/>
              <w:bottom w:w="75.0" w:type="dxa"/>
            </w:tcMar>
            <w:vAlign w:val="center"/>
          </w:tcPr>
          <w:p w:rsidR="00000000" w:rsidDel="00000000" w:rsidP="00000000" w:rsidRDefault="00000000" w:rsidRPr="00000000" w14:paraId="000000FE">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S6–S11</w:t>
            </w:r>
            <w:r w:rsidDel="00000000" w:rsidR="00000000" w:rsidRPr="00000000">
              <w:rPr>
                <w:rtl w:val="0"/>
              </w:rPr>
            </w:r>
          </w:p>
        </w:tc>
        <w:tc>
          <w:tcPr>
            <w:tcBorders>
              <w:left w:color="ffffff" w:space="0" w:sz="4" w:val="single"/>
            </w:tcBorders>
            <w:shd w:fill="d9d9d9" w:val="clear"/>
            <w:tcMar>
              <w:top w:w="75.0" w:type="dxa"/>
              <w:bottom w:w="75.0" w:type="dxa"/>
            </w:tcMar>
            <w:vAlign w:val="center"/>
          </w:tcPr>
          <w:p w:rsidR="00000000" w:rsidDel="00000000" w:rsidP="00000000" w:rsidRDefault="00000000" w:rsidRPr="00000000" w14:paraId="000000FF">
            <w:pPr>
              <w:spacing w:after="40" w:before="0" w:line="252.00000000000003" w:lineRule="auto"/>
              <w:jc w:val="left"/>
              <w:rPr/>
            </w:pPr>
            <w:r w:rsidDel="00000000" w:rsidR="00000000" w:rsidRPr="00000000">
              <w:rPr>
                <w:rFonts w:ascii="Arial" w:cs="Arial" w:eastAsia="Arial" w:hAnsi="Arial"/>
                <w:sz w:val="15"/>
                <w:szCs w:val="15"/>
                <w:rtl w:val="0"/>
              </w:rPr>
              <w:t xml:space="preserve">Christopher Rojas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00">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Priorizar tiempos de viaje reales y alcance RM.</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101">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Analítica de salud</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02">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Hospitalización psiquiátrica</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03">
            <w:pPr>
              <w:spacing w:after="40" w:before="0" w:line="252.00000000000003" w:lineRule="auto"/>
              <w:jc w:val="left"/>
              <w:rPr/>
            </w:pPr>
            <w:r w:rsidDel="00000000" w:rsidR="00000000" w:rsidRPr="00000000">
              <w:rPr>
                <w:rFonts w:ascii="Arial" w:cs="Arial" w:eastAsia="Arial" w:hAnsi="Arial"/>
                <w:sz w:val="15"/>
                <w:szCs w:val="15"/>
                <w:rtl w:val="0"/>
              </w:rPr>
              <w:t xml:space="preserve">Caracterizar la duración de estadía F00–F99, analizar factores asociados y segmentar los resultados por sexo, previsión y pertenencia al SNSS, complementando el análisis con indicadores oficiales desagregados por sexo.</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04">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Pytho</w:t>
            </w:r>
            <w:r w:rsidDel="00000000" w:rsidR="00000000" w:rsidRPr="00000000">
              <w:rPr>
                <w:rFonts w:ascii="Arial" w:cs="Arial" w:eastAsia="Arial" w:hAnsi="Arial"/>
                <w:sz w:val="15"/>
                <w:szCs w:val="15"/>
                <w:rtl w:val="0"/>
              </w:rPr>
              <w:t xml:space="preserve">n</w:t>
            </w:r>
            <w:r w:rsidDel="00000000" w:rsidR="00000000" w:rsidRPr="00000000">
              <w:rPr>
                <w:rFonts w:ascii="Arial" w:cs="Arial" w:eastAsia="Arial" w:hAnsi="Arial"/>
                <w:b w:val="0"/>
                <w:bCs w:val="0"/>
                <w:i w:val="0"/>
                <w:iCs w:val="0"/>
                <w:color w:val="000000"/>
                <w:sz w:val="15"/>
                <w:szCs w:val="15"/>
                <w:rtl w:val="0"/>
              </w:rPr>
              <w:t xml:space="preserve">, estadística</w:t>
            </w:r>
            <w:r w:rsidDel="00000000" w:rsidR="00000000" w:rsidRPr="00000000">
              <w:rPr>
                <w:rtl w:val="0"/>
              </w:rPr>
            </w:r>
          </w:p>
        </w:tc>
        <w:tc>
          <w:tcPr>
            <w:tcBorders>
              <w:right w:color="ffffff" w:space="0" w:sz="4" w:val="single"/>
            </w:tcBorders>
            <w:tcMar>
              <w:top w:w="75.0" w:type="dxa"/>
              <w:bottom w:w="75.0" w:type="dxa"/>
            </w:tcMar>
            <w:vAlign w:val="center"/>
          </w:tcPr>
          <w:p w:rsidR="00000000" w:rsidDel="00000000" w:rsidP="00000000" w:rsidRDefault="00000000" w:rsidRPr="00000000" w14:paraId="00000105">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S7–S11</w:t>
            </w:r>
            <w:r w:rsidDel="00000000" w:rsidR="00000000" w:rsidRPr="00000000">
              <w:rPr>
                <w:rtl w:val="0"/>
              </w:rPr>
            </w:r>
          </w:p>
        </w:tc>
        <w:tc>
          <w:tcPr>
            <w:tcBorders>
              <w:left w:color="ffffff" w:space="0" w:sz="4" w:val="single"/>
            </w:tcBorders>
            <w:shd w:fill="d9d9d9" w:val="clear"/>
            <w:tcMar>
              <w:top w:w="75.0" w:type="dxa"/>
              <w:bottom w:w="75.0" w:type="dxa"/>
            </w:tcMar>
            <w:vAlign w:val="center"/>
          </w:tcPr>
          <w:p w:rsidR="00000000" w:rsidDel="00000000" w:rsidP="00000000" w:rsidRDefault="00000000" w:rsidRPr="00000000" w14:paraId="00000106">
            <w:pPr>
              <w:spacing w:after="40" w:before="0" w:line="252.00000000000003" w:lineRule="auto"/>
              <w:jc w:val="left"/>
              <w:rPr/>
            </w:pPr>
            <w:r w:rsidDel="00000000" w:rsidR="00000000" w:rsidRPr="00000000">
              <w:rPr>
                <w:rFonts w:ascii="Arial" w:cs="Arial" w:eastAsia="Arial" w:hAnsi="Arial"/>
                <w:sz w:val="15"/>
                <w:szCs w:val="15"/>
                <w:rtl w:val="0"/>
              </w:rPr>
              <w:t xml:space="preserve">Felipe Rivera</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07">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Cruce con urgencias solo a nivel ecológico.</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108">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Desarrollo</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09">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Plataforma web integrada</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0A">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Construir backend/API e interfaz para explorar pronóstico, accesibilidad y hospitalización.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0B">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Framework web, API, Git</w:t>
            </w:r>
            <w:r w:rsidDel="00000000" w:rsidR="00000000" w:rsidRPr="00000000">
              <w:rPr>
                <w:rtl w:val="0"/>
              </w:rPr>
            </w:r>
          </w:p>
        </w:tc>
        <w:tc>
          <w:tcPr>
            <w:tcBorders>
              <w:right w:color="ffffff" w:space="0" w:sz="4" w:val="single"/>
            </w:tcBorders>
            <w:tcMar>
              <w:top w:w="75.0" w:type="dxa"/>
              <w:bottom w:w="75.0" w:type="dxa"/>
            </w:tcMar>
            <w:vAlign w:val="center"/>
          </w:tcPr>
          <w:p w:rsidR="00000000" w:rsidDel="00000000" w:rsidP="00000000" w:rsidRDefault="00000000" w:rsidRPr="00000000" w14:paraId="0000010C">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S9–S14</w:t>
            </w:r>
            <w:r w:rsidDel="00000000" w:rsidR="00000000" w:rsidRPr="00000000">
              <w:rPr>
                <w:rtl w:val="0"/>
              </w:rPr>
            </w:r>
          </w:p>
        </w:tc>
        <w:tc>
          <w:tcPr>
            <w:tcBorders>
              <w:left w:color="ffffff" w:space="0" w:sz="4" w:val="single"/>
            </w:tcBorders>
            <w:shd w:fill="d9d9d9" w:val="clear"/>
            <w:tcMar>
              <w:top w:w="75.0" w:type="dxa"/>
              <w:bottom w:w="75.0" w:type="dxa"/>
            </w:tcMar>
            <w:vAlign w:val="center"/>
          </w:tcPr>
          <w:p w:rsidR="00000000" w:rsidDel="00000000" w:rsidP="00000000" w:rsidRDefault="00000000" w:rsidRPr="00000000" w14:paraId="0000010D">
            <w:pPr>
              <w:spacing w:after="40" w:before="0" w:line="252.00000000000003" w:lineRule="auto"/>
              <w:jc w:val="left"/>
              <w:rPr/>
            </w:pPr>
            <w:r w:rsidDel="00000000" w:rsidR="00000000" w:rsidRPr="00000000">
              <w:rPr>
                <w:rFonts w:ascii="Arial" w:cs="Arial" w:eastAsia="Arial" w:hAnsi="Arial"/>
                <w:sz w:val="15"/>
                <w:szCs w:val="15"/>
                <w:rtl w:val="0"/>
              </w:rPr>
              <w:t xml:space="preserve">Christopher Rojas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0E">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Evitar presentar el resultado como dashboard descriptivo.</w:t>
            </w:r>
            <w:r w:rsidDel="00000000" w:rsidR="00000000" w:rsidRPr="00000000">
              <w:rPr>
                <w:rtl w:val="0"/>
              </w:rPr>
            </w:r>
          </w:p>
        </w:tc>
      </w:tr>
      <w:tr>
        <w:trPr>
          <w:cantSplit w:val="1"/>
          <w:tblHeader w:val="0"/>
        </w:trPr>
        <w:tc>
          <w:tcPr>
            <w:tcMar>
              <w:top w:w="75.0" w:type="dxa"/>
              <w:bottom w:w="75.0" w:type="dxa"/>
            </w:tcMar>
            <w:vAlign w:val="center"/>
          </w:tcPr>
          <w:p w:rsidR="00000000" w:rsidDel="00000000" w:rsidP="00000000" w:rsidRDefault="00000000" w:rsidRPr="00000000" w14:paraId="0000010F">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Calidad y validación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0">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Pruebas y validación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1">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Ejecutar pruebas de datos, modelo, API, interfaz y usabilidad; recoger feedback y ajustar.</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2">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Casos de prueba, métricas, </w:t>
            </w:r>
            <w:r w:rsidDel="00000000" w:rsidR="00000000" w:rsidRPr="00000000">
              <w:rPr>
                <w:rFonts w:ascii="Arial" w:cs="Arial" w:eastAsia="Arial" w:hAnsi="Arial"/>
                <w:sz w:val="15"/>
                <w:szCs w:val="15"/>
                <w:rtl w:val="0"/>
              </w:rPr>
              <w:t xml:space="preserve">Postman</w:t>
            </w:r>
            <w:r w:rsidDel="00000000" w:rsidR="00000000" w:rsidRPr="00000000">
              <w:rPr>
                <w:rtl w:val="0"/>
              </w:rPr>
            </w:r>
          </w:p>
        </w:tc>
        <w:tc>
          <w:tcPr>
            <w:tcBorders>
              <w:right w:color="ffffff" w:space="0" w:sz="4" w:val="single"/>
            </w:tcBorders>
            <w:tcMar>
              <w:top w:w="75.0" w:type="dxa"/>
              <w:bottom w:w="75.0" w:type="dxa"/>
            </w:tcMar>
            <w:vAlign w:val="center"/>
          </w:tcPr>
          <w:p w:rsidR="00000000" w:rsidDel="00000000" w:rsidP="00000000" w:rsidRDefault="00000000" w:rsidRPr="00000000" w14:paraId="00000113">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S13–S16</w:t>
            </w:r>
            <w:r w:rsidDel="00000000" w:rsidR="00000000" w:rsidRPr="00000000">
              <w:rPr>
                <w:rtl w:val="0"/>
              </w:rPr>
            </w:r>
          </w:p>
        </w:tc>
        <w:tc>
          <w:tcPr>
            <w:tcBorders>
              <w:left w:color="ffffff" w:space="0" w:sz="4" w:val="single"/>
            </w:tcBorders>
            <w:shd w:fill="d9d9d9" w:val="clear"/>
            <w:tcMar>
              <w:top w:w="75.0" w:type="dxa"/>
              <w:bottom w:w="75.0" w:type="dxa"/>
            </w:tcMar>
            <w:vAlign w:val="center"/>
          </w:tcPr>
          <w:p w:rsidR="00000000" w:rsidDel="00000000" w:rsidP="00000000" w:rsidRDefault="00000000" w:rsidRPr="00000000" w14:paraId="00000114">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Camila </w:t>
            </w:r>
            <w:r w:rsidDel="00000000" w:rsidR="00000000" w:rsidRPr="00000000">
              <w:rPr>
                <w:rFonts w:ascii="Arial" w:cs="Arial" w:eastAsia="Arial" w:hAnsi="Arial"/>
                <w:sz w:val="15"/>
                <w:szCs w:val="15"/>
                <w:rtl w:val="0"/>
              </w:rPr>
              <w:t xml:space="preserve">Aroca</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5">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La disponibilidad del cliente puede afectar fechas.</w:t>
            </w:r>
            <w:r w:rsidDel="00000000" w:rsidR="00000000" w:rsidRPr="00000000">
              <w:rPr>
                <w:rtl w:val="0"/>
              </w:rPr>
            </w:r>
          </w:p>
        </w:tc>
      </w:tr>
      <w:tr>
        <w:trPr>
          <w:cantSplit w:val="1"/>
          <w:trHeight w:val="300" w:hRule="atLeast"/>
          <w:tblHeader w:val="0"/>
        </w:trPr>
        <w:tc>
          <w:tcPr>
            <w:vMerge w:val="restart"/>
            <w:tcMar>
              <w:top w:w="75.0" w:type="dxa"/>
              <w:bottom w:w="75.0" w:type="dxa"/>
            </w:tcMar>
            <w:vAlign w:val="center"/>
          </w:tcPr>
          <w:p w:rsidR="00000000" w:rsidDel="00000000" w:rsidP="00000000" w:rsidRDefault="00000000" w:rsidRPr="00000000" w14:paraId="00000116">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Cierre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7">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Despliegue </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8">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Desplegar</w:t>
            </w:r>
            <w:r w:rsidDel="00000000" w:rsidR="00000000" w:rsidRPr="00000000">
              <w:rPr>
                <w:rFonts w:ascii="Arial" w:cs="Arial" w:eastAsia="Arial" w:hAnsi="Arial"/>
                <w:sz w:val="15"/>
                <w:szCs w:val="15"/>
                <w:rtl w:val="0"/>
              </w:rPr>
              <w:t xml:space="preserve"> la plataforma de tal manera que quede correctamente disponible para su utilización por parte de los usuarios propuestos</w:t>
            </w:r>
            <w:r w:rsidDel="00000000" w:rsidR="00000000" w:rsidRPr="00000000">
              <w:rPr>
                <w:rFonts w:ascii="Arial" w:cs="Arial" w:eastAsia="Arial" w:hAnsi="Arial"/>
                <w:b w:val="0"/>
                <w:bCs w:val="0"/>
                <w:i w:val="0"/>
                <w:iCs w:val="0"/>
                <w:color w:val="000000"/>
                <w:sz w:val="15"/>
                <w:szCs w:val="15"/>
                <w:rtl w:val="0"/>
              </w:rPr>
              <w:t xml:space="preserve"> </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9">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Cloud/hosting</w:t>
            </w:r>
            <w:r w:rsidDel="00000000" w:rsidR="00000000" w:rsidRPr="00000000">
              <w:rPr>
                <w:rtl w:val="0"/>
              </w:rPr>
            </w:r>
          </w:p>
        </w:tc>
        <w:tc>
          <w:tcPr>
            <w:tcBorders>
              <w:right w:color="ffffff" w:space="0" w:sz="4" w:val="single"/>
            </w:tcBorders>
            <w:tcMar>
              <w:top w:w="75.0" w:type="dxa"/>
              <w:bottom w:w="75.0" w:type="dxa"/>
            </w:tcMar>
            <w:vAlign w:val="center"/>
          </w:tcPr>
          <w:p w:rsidR="00000000" w:rsidDel="00000000" w:rsidP="00000000" w:rsidRDefault="00000000" w:rsidRPr="00000000" w14:paraId="0000011A">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S16–S18</w:t>
            </w:r>
            <w:r w:rsidDel="00000000" w:rsidR="00000000" w:rsidRPr="00000000">
              <w:rPr>
                <w:rtl w:val="0"/>
              </w:rPr>
            </w:r>
          </w:p>
        </w:tc>
        <w:tc>
          <w:tcPr>
            <w:tcBorders>
              <w:left w:color="ffffff" w:space="0" w:sz="4" w:val="single"/>
            </w:tcBorders>
            <w:shd w:fill="d9d9d9" w:val="clear"/>
            <w:tcMar>
              <w:top w:w="75.0" w:type="dxa"/>
              <w:bottom w:w="75.0" w:type="dxa"/>
            </w:tcMar>
            <w:vAlign w:val="center"/>
          </w:tcPr>
          <w:p w:rsidR="00000000" w:rsidDel="00000000" w:rsidP="00000000" w:rsidRDefault="00000000" w:rsidRPr="00000000" w14:paraId="0000011B">
            <w:pPr>
              <w:spacing w:after="40" w:before="0" w:line="252.00000000000003" w:lineRule="auto"/>
              <w:jc w:val="left"/>
              <w:rPr/>
            </w:pPr>
            <w:r w:rsidDel="00000000" w:rsidR="00000000" w:rsidRPr="00000000">
              <w:rPr>
                <w:rFonts w:ascii="Arial" w:cs="Arial" w:eastAsia="Arial" w:hAnsi="Arial"/>
                <w:sz w:val="15"/>
                <w:szCs w:val="15"/>
                <w:rtl w:val="0"/>
              </w:rPr>
              <w:t xml:space="preserve">Catalina Rodrígez</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C">
            <w:pPr>
              <w:spacing w:after="40" w:before="0" w:line="252.00000000000003" w:lineRule="auto"/>
              <w:jc w:val="left"/>
              <w:rPr/>
            </w:pPr>
            <w:r w:rsidDel="00000000" w:rsidR="00000000" w:rsidRPr="00000000">
              <w:rPr>
                <w:rFonts w:ascii="Arial" w:cs="Arial" w:eastAsia="Arial" w:hAnsi="Arial"/>
                <w:b w:val="0"/>
                <w:bCs w:val="0"/>
                <w:i w:val="0"/>
                <w:iCs w:val="0"/>
                <w:color w:val="000000"/>
                <w:sz w:val="15"/>
                <w:szCs w:val="15"/>
                <w:rtl w:val="0"/>
              </w:rPr>
              <w:t xml:space="preserve">Mantener alcance del MVP validado.</w:t>
            </w:r>
            <w:r w:rsidDel="00000000" w:rsidR="00000000" w:rsidRPr="00000000">
              <w:rPr>
                <w:rtl w:val="0"/>
              </w:rPr>
            </w:r>
          </w:p>
        </w:tc>
      </w:tr>
      <w:tr>
        <w:trPr>
          <w:cantSplit w:val="1"/>
          <w:trHeight w:val="300" w:hRule="atLeast"/>
          <w:tblHeader w:val="0"/>
        </w:trPr>
        <w:tc>
          <w:tcPr>
            <w:vMerge w:val="continue"/>
            <w:tcMar>
              <w:top w:w="75.0" w:type="dxa"/>
              <w:bottom w:w="75.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E">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sz w:val="15"/>
                <w:szCs w:val="15"/>
                <w:rtl w:val="0"/>
              </w:rPr>
              <w:t xml:space="preserve">Documentación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1F">
            <w:pPr>
              <w:spacing w:after="40" w:line="252.00000000000003" w:lineRule="auto"/>
              <w:rPr/>
            </w:pPr>
            <w:r w:rsidDel="00000000" w:rsidR="00000000" w:rsidRPr="00000000">
              <w:rPr>
                <w:rFonts w:ascii="Arial" w:cs="Arial" w:eastAsia="Arial" w:hAnsi="Arial"/>
                <w:sz w:val="15"/>
                <w:szCs w:val="15"/>
                <w:rtl w:val="0"/>
              </w:rPr>
              <w:t xml:space="preserve">Documentar arquitectura y uso, cerrar resultados, limitaciones, presentación y backlog.</w:t>
            </w:r>
            <w:r w:rsidDel="00000000" w:rsidR="00000000" w:rsidRPr="00000000">
              <w:rPr>
                <w:rtl w:val="0"/>
              </w:rPr>
            </w:r>
          </w:p>
          <w:p w:rsidR="00000000" w:rsidDel="00000000" w:rsidP="00000000" w:rsidRDefault="00000000" w:rsidRPr="00000000" w14:paraId="00000120">
            <w:pPr>
              <w:spacing w:after="40" w:before="0" w:line="252.00000000000003" w:lineRule="auto"/>
              <w:jc w:val="left"/>
              <w:rPr>
                <w:rFonts w:ascii="Arial" w:cs="Arial" w:eastAsia="Arial" w:hAnsi="Arial"/>
                <w:sz w:val="15"/>
                <w:szCs w:val="15"/>
              </w:rPr>
            </w:pP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121">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sz w:val="15"/>
                <w:szCs w:val="15"/>
                <w:rtl w:val="0"/>
              </w:rPr>
              <w:t xml:space="preserve">GitHub Projects, Microsoft Word, Canva, Microsoft Powerpoint, Documentación en repositorio de GitHub</w:t>
            </w:r>
            <w:r w:rsidDel="00000000" w:rsidR="00000000" w:rsidRPr="00000000">
              <w:rPr>
                <w:rtl w:val="0"/>
              </w:rPr>
            </w:r>
          </w:p>
        </w:tc>
        <w:tc>
          <w:tcPr>
            <w:tcBorders>
              <w:right w:color="ffffff" w:space="0" w:sz="4" w:val="single"/>
            </w:tcBorders>
            <w:tcMar>
              <w:top w:w="75.0" w:type="dxa"/>
              <w:bottom w:w="75.0" w:type="dxa"/>
            </w:tcMar>
            <w:vAlign w:val="center"/>
          </w:tcPr>
          <w:p w:rsidR="00000000" w:rsidDel="00000000" w:rsidP="00000000" w:rsidRDefault="00000000" w:rsidRPr="00000000" w14:paraId="00000122">
            <w:pPr>
              <w:spacing w:after="40" w:line="252.00000000000003" w:lineRule="auto"/>
              <w:rPr/>
            </w:pPr>
            <w:r w:rsidDel="00000000" w:rsidR="00000000" w:rsidRPr="00000000">
              <w:rPr>
                <w:rFonts w:ascii="Arial" w:cs="Arial" w:eastAsia="Arial" w:hAnsi="Arial"/>
                <w:sz w:val="15"/>
                <w:szCs w:val="15"/>
                <w:rtl w:val="0"/>
              </w:rPr>
              <w:t xml:space="preserve">S1–S18</w:t>
            </w:r>
            <w:r w:rsidDel="00000000" w:rsidR="00000000" w:rsidRPr="00000000">
              <w:rPr>
                <w:rtl w:val="0"/>
              </w:rPr>
            </w:r>
          </w:p>
        </w:tc>
        <w:tc>
          <w:tcPr>
            <w:tcBorders>
              <w:left w:color="ffffff" w:space="0" w:sz="4" w:val="single"/>
            </w:tcBorders>
            <w:shd w:fill="d9d9d9" w:val="clear"/>
            <w:tcMar>
              <w:top w:w="75.0" w:type="dxa"/>
              <w:bottom w:w="75.0" w:type="dxa"/>
            </w:tcMar>
            <w:vAlign w:val="center"/>
          </w:tcPr>
          <w:p w:rsidR="00000000" w:rsidDel="00000000" w:rsidP="00000000" w:rsidRDefault="00000000" w:rsidRPr="00000000" w14:paraId="00000123">
            <w:pPr>
              <w:spacing w:after="40" w:before="0" w:line="252.00000000000003" w:lineRule="auto"/>
              <w:jc w:val="left"/>
              <w:rPr>
                <w:rFonts w:ascii="Arial" w:cs="Arial" w:eastAsia="Arial" w:hAnsi="Arial"/>
                <w:sz w:val="15"/>
                <w:szCs w:val="15"/>
              </w:rPr>
            </w:pPr>
            <w:r w:rsidDel="00000000" w:rsidR="00000000" w:rsidRPr="00000000">
              <w:rPr>
                <w:rFonts w:ascii="Arial" w:cs="Arial" w:eastAsia="Arial" w:hAnsi="Arial"/>
                <w:sz w:val="15"/>
                <w:szCs w:val="15"/>
                <w:rtl w:val="0"/>
              </w:rPr>
              <w:t xml:space="preserve">Camila Aroca</w:t>
            </w:r>
          </w:p>
        </w:tc>
        <w:tc>
          <w:tcPr>
            <w:tcMar>
              <w:top w:w="75.0" w:type="dxa"/>
              <w:bottom w:w="75.0" w:type="dxa"/>
            </w:tcMar>
            <w:vAlign w:val="center"/>
          </w:tcPr>
          <w:p w:rsidR="00000000" w:rsidDel="00000000" w:rsidP="00000000" w:rsidRDefault="00000000" w:rsidRPr="00000000" w14:paraId="00000124">
            <w:pPr>
              <w:spacing w:after="40" w:before="0" w:line="252.00000000000003" w:lineRule="auto"/>
              <w:jc w:val="left"/>
              <w:rPr>
                <w:rFonts w:ascii="Arial" w:cs="Arial" w:eastAsia="Arial" w:hAnsi="Arial"/>
                <w:b w:val="0"/>
                <w:bCs w:val="0"/>
                <w:i w:val="0"/>
                <w:iCs w:val="0"/>
                <w:color w:val="000000"/>
                <w:sz w:val="15"/>
                <w:szCs w:val="15"/>
              </w:rPr>
            </w:pPr>
            <w:r w:rsidDel="00000000" w:rsidR="00000000" w:rsidRPr="00000000">
              <w:rPr>
                <w:rFonts w:ascii="Arial" w:cs="Arial" w:eastAsia="Arial" w:hAnsi="Arial"/>
                <w:sz w:val="15"/>
                <w:szCs w:val="15"/>
                <w:rtl w:val="0"/>
              </w:rPr>
              <w:t xml:space="preserve">Registrar todas las fases del proyecto desde ideación hasta implementación siguiendo buenas prácticas.</w:t>
            </w:r>
            <w:r w:rsidDel="00000000" w:rsidR="00000000" w:rsidRPr="00000000">
              <w:rPr>
                <w:rtl w:val="0"/>
              </w:rPr>
            </w:r>
          </w:p>
        </w:tc>
      </w:tr>
    </w:tbl>
    <w:p w:rsidR="00000000" w:rsidDel="00000000" w:rsidP="00000000" w:rsidRDefault="00000000" w:rsidRPr="00000000" w14:paraId="00000125">
      <w:pPr>
        <w:spacing w:after="0" w:line="360" w:lineRule="auto"/>
        <w:jc w:val="both"/>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QYO4PeGAs7FNDzaPKf48LJxeYQ==">CgMxLjA4AHIhMWhIRUZ3QTJSYVVVYVhCbHNRS1BMOVNGMVlZTDIwdjll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Camila Aroca Muñoz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