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cantSplit/>
        </w:trPr>
        <w:tc>
          <w:tcPr>
            <w:tcW w:w="10076" w:type="dxa"/>
            <w:vAlign w:val="center"/>
          </w:tcPr>
          <w:p w14:paraId="65586F2B"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cantSplit/>
        </w:trPr>
        <w:tc>
          <w:tcPr>
            <w:tcW w:w="10076" w:type="dxa"/>
            <w:shd w:val="clear" w:color="auto" w:fill="DEEAF6" w:themeFill="accent1" w:themeFillTint="33"/>
            <w:vAlign w:val="top"/>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r>
              <w:rPr>
                <w:rFonts w:ascii="Arial" w:hAnsi="Arial"/>
                <w:sz w:val="18"/>
              </w:rPr>
              <w:t>He logrado avanzar de manera importante, aunque no todas las actividades han seguido exactamente las fechas iniciales de la carta Gantt. En mi parte, pasé de la definición y auditoría de fuentes a implementar y verificar etapas de ingesta, limpieza, normalización, dimensiones y conjuntos de datos para el análisis. También participé en la documentación técnica, el modelo de datos y la trazabilidad de resultados. La organización mediante GitHub Projects y la división de responsabilidades facilitaron el avance. Destaco especialmente la labor de la jefa de grupo, que ha organizado la asignación y el seguimiento de tareas, ayudándonos a mantener prioridades y trabajar de manera más ordenada. Lo más difícil ha sido abordar bases heterogéneas, archivos extensos, diferencias entre períodos y dependencias entre procesamiento, modelos y aplicación. Además, el alcance de la entrega fue precisándose durante el desarrollo, lo que exigió ajustar prioridades y diferenciar lo implementado de lo pendiente.</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cantSplit/>
        </w:trPr>
        <w:tc>
          <w:tcPr>
            <w:tcW w:w="10076" w:type="dxa"/>
            <w:vAlign w:val="center"/>
          </w:tcPr>
          <w:p w14:paraId="45BEE2C8"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cantSplit/>
        </w:trPr>
        <w:tc>
          <w:tcPr>
            <w:tcW w:w="10076" w:type="dxa"/>
            <w:shd w:val="clear" w:color="auto" w:fill="DEEAF6" w:themeFill="accent1" w:themeFillTint="33"/>
            <w:vAlign w:val="top"/>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r>
              <w:rPr>
                <w:rFonts w:ascii="Arial" w:hAnsi="Arial"/>
                <w:sz w:val="18"/>
              </w:rPr>
              <w:t>He enfrentado esas dificultades verificando primero el comportamiento real de los datos y del repositorio, en vez de corregir problemas a partir de suposiciones. En el pipeline incorporé y comprobé controles de outputs, manejo de errores, procedencia de archivos y verificaciones reproducibles. Para los stages de limpieza se documentaron entradas, salidas y conteos, con 28 outputs conformes a sus contratos y 136 pruebas dirigidas aprobadas en la revisión reportada. También aprendí a conservar anomalías cuando la fuente no permite resolverlas de forma justificada: por ejemplo, seis geometrías de manzanas del Censo quedaron identificadas y documentadas sin presentarlas como topológicamente válidas. Hacia adelante, priorizaré pruebas dirigidas, acuerdos claros sobre dependencias y comunicación temprana de bloqueos. Evitaré reprocesamientos innecesarios y cambios en componentes de otros integrantes para reducir el riesgo de regresiones.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cantSplit/>
        </w:trPr>
        <w:tc>
          <w:tcPr>
            <w:tcW w:w="10076" w:type="dxa"/>
            <w:vAlign w:val="center"/>
          </w:tcPr>
          <w:p w14:paraId="5777F753"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cantSplit/>
        </w:trPr>
        <w:tc>
          <w:tcPr>
            <w:tcW w:w="10076" w:type="dxa"/>
            <w:shd w:val="clear" w:color="auto" w:fill="DEEAF6" w:themeFill="accent1" w:themeFillTint="33"/>
            <w:vAlign w:val="top"/>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r>
              <w:rPr>
                <w:rFonts w:ascii="Arial" w:hAnsi="Arial"/>
                <w:sz w:val="18"/>
              </w:rPr>
              <w:t>Evalúo positivamente mi aporte, porque pude aplicar en un proyecto más cercano a la realidad lo que en Fase 1 identificaba como mi principal interés: bases de datos, ingeniería de datos y analítica. Entre mis contribuciones destacaría el fortalecimiento de la actualización de Urgencias del año corriente, el registro y la reconciliación de procedencia de los datos, los controles de errores y contratos de outputs del pipeline, además de la alineación de su documentación con el comportamiento real. La verificación de las etapas de limpieza quedó respaldada con conteos reconstruibles, 28 outputs conformes y 136 pruebas dirigidas aprobadas. También aprendí a mantener anomalías de la fuente explícitas, en vez de modificar datos para obtener resultados favorables. Valoro haber realizado estos cambios procurando no alterar los componentes a cargo de mis compañeros. Debo mejorar la estimación de tiempos, anticipar dependencias y explicar la evidencia técnica de manera más simple. Además, quiero seguir fortaleciendo pruebas de integración y portabilidad entre equipos, sin confundir una ejecución local satisfactoria con una reconstrucción completa desde cero.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cantSplit/>
        </w:trPr>
        <w:tc>
          <w:tcPr>
            <w:tcW w:w="10076" w:type="dxa"/>
            <w:vAlign w:val="center"/>
          </w:tcPr>
          <w:p w14:paraId="56439B9A"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cantSplit/>
        </w:trPr>
        <w:tc>
          <w:tcPr>
            <w:tcW w:w="10076" w:type="dxa"/>
            <w:shd w:val="clear" w:color="auto" w:fill="DEEAF6" w:themeFill="accent1" w:themeFillTint="33"/>
            <w:vAlign w:val="top"/>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r>
              <w:rPr>
                <w:rFonts w:ascii="Arial" w:hAnsi="Arial"/>
                <w:sz w:val="18"/>
              </w:rPr>
              <w:t>Mi principal inquietud es cómo debemos equilibrar el alcance comprometido del proyecto completo con el nivel de evidencia exigido para cada entrega parcial. Ya existen componentes de datos y una demostración de la plataforma, pero eso no equivale por sí solo a disponer de todos los análisis territoriales, de hospitalización, despliegue y validación con usuarios terminados. Me gustaría consultar a la docente qué evidencia mínima espera para distinguir una funcionalidad implementada, probada y validada por un usuario piloto, y cómo reflejar correctamente esa diferencia en el informe y la presentación. También quisiera confirmar si las limitaciones propias de las fuentes oficiales, cuando están identificadas y no impiden cumplir un contrato concreto, deben exponerse como riesgos documentados en vez de tratarse automáticamente como tareas fallidas. Esto permitiría concentrar los esfuerzos en las brechas verdaderamente críticas.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cantSplit/>
        </w:trPr>
        <w:tc>
          <w:tcPr>
            <w:tcW w:w="10076" w:type="dxa"/>
            <w:vAlign w:val="center"/>
          </w:tcPr>
          <w:p w14:paraId="4C38DECD"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cantSplit/>
        </w:trPr>
        <w:tc>
          <w:tcPr>
            <w:tcW w:w="10076" w:type="dxa"/>
            <w:shd w:val="clear" w:color="auto" w:fill="DEEAF6" w:themeFill="accent1" w:themeFillTint="33"/>
            <w:vAlign w:val="top"/>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r>
              <w:rPr>
                <w:rFonts w:ascii="Arial" w:hAnsi="Arial"/>
                <w:sz w:val="18"/>
              </w:rPr>
              <w:t>Considero que no corresponde redistribuir tareas solo porque una actividad haya resultado difícil. La división por áreas ha permitido avanzar y evitar intervenciones innecesarias en el trabajo de los demás. En mi caso, puedo mantener la responsabilidad sobre ingeniería de datos, calidad, trazabilidad, modelo de datos y documentación técnica asociada. Sí necesitamos revisar en conjunto las tareas transversales: integración de resultados, validaciones de extremo a extremo, evidencias de la demostración y documentación final. Para cada una conviene definir un responsable de cierre, colaboradores, dependencias y criterios observables de aceptación en el Kanban. Si alguna actividad se retrasa por requerir decisiones o insumos de otra área, prefiero acordar una colaboración puntual antes que cambiar unilateralmente el código de un compañero. Las nuevas asignaciones deberían considerar la carga real de cada integrante y el plazo restante.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cantSplit/>
        </w:trPr>
        <w:tc>
          <w:tcPr>
            <w:tcW w:w="10076" w:type="dxa"/>
            <w:vAlign w:val="center"/>
          </w:tcPr>
          <w:p w14:paraId="741C85EB" w14:textId="5C8D2DC3" w:rsidR="004F2A8B" w:rsidRPr="00885110" w:rsidRDefault="004F2A8B" w:rsidP="00B25651">
            <w:pPr>
              <w:keepNext/>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cantSplit/>
        </w:trPr>
        <w:tc>
          <w:tcPr>
            <w:tcW w:w="10076" w:type="dxa"/>
            <w:shd w:val="clear" w:color="auto" w:fill="DEEAF6" w:themeFill="accent1" w:themeFillTint="33"/>
            <w:vAlign w:val="top"/>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r>
              <w:rPr>
                <w:rFonts w:ascii="Arial" w:hAnsi="Arial"/>
                <w:sz w:val="18"/>
              </w:rPr>
              <w:t>Valoro que el equipo haya mantenido una propuesta común y distribuido el trabajo según las responsabilidades de cada integrante. Quiero destacar particularmente a la jefa de grupo: su gestión en la asignación, priorización y seguimiento de tareas ha sido muy importante para que trabajemos de forma ordenada, sepamos qué debe hacer cada uno y mantengamos visibles los avances y pendientes. El repositorio, el tablero Kanban y las reuniones de coordinación han ayudado a evolucionar desde la definición de Fase 1 hacia un prototipo demostrable en Fase 2. Aun así, el trabajo paralelo entre cuatro personas exige comunicar oportunamente cambios que afectan a otros módulos, acordar interfaces y no confundir la existencia de un archivo con su validación. Podemos mejorar mediante revisiones breves de dependencias, criterios de aceptación compartidos y más tiempo reservado para integración, ensayo de la demostración y retroalimentación de la docente y del usuario piloto. Considero que la organización alcanzada es una fortaleza que debemos mantener durante el cierre del proyecto.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