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900" w:lineRule="auto"/>
        <w:rPr/>
      </w:pPr>
      <w:r w:rsidDel="00000000" w:rsidR="00000000" w:rsidRPr="00000000">
        <w:rPr>
          <w:rtl w:val="0"/>
        </w:rPr>
      </w:r>
    </w:p>
    <w:p w:rsidR="00000000" w:rsidDel="00000000" w:rsidP="00000000" w:rsidRDefault="00000000" w:rsidRPr="00000000" w14:paraId="00000002">
      <w:pPr>
        <w:spacing w:after="360" w:before="0" w:lineRule="auto"/>
        <w:rPr/>
      </w:pPr>
      <w:r w:rsidDel="00000000" w:rsidR="00000000" w:rsidRPr="00000000">
        <w:rPr/>
        <w:drawing>
          <wp:inline distB="0" distT="0" distL="0" distR="0">
            <wp:extent cx="4191000" cy="1400175"/>
            <wp:effectExtent b="0" l="0" r="0" t="0"/>
            <wp:docPr descr="Logo de SAAD, Análisis y Anticipación de Demanda" id="2" name="image1.png"/>
            <a:graphic>
              <a:graphicData uri="http://schemas.openxmlformats.org/drawingml/2006/picture">
                <pic:pic>
                  <pic:nvPicPr>
                    <pic:cNvPr descr="Logo de SAAD, Análisis y Anticipación de Demanda" id="0" name="image1.png"/>
                    <pic:cNvPicPr preferRelativeResize="0"/>
                  </pic:nvPicPr>
                  <pic:blipFill>
                    <a:blip r:embed="rId7"/>
                    <a:srcRect b="0" l="0" r="0" t="0"/>
                    <a:stretch>
                      <a:fillRect/>
                    </a:stretch>
                  </pic:blipFill>
                  <pic:spPr>
                    <a:xfrm>
                      <a:off x="0" y="0"/>
                      <a:ext cx="4191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bottom w:color="80bda8" w:space="1" w:sz="24" w:val="single"/>
        </w:pBdr>
        <w:spacing w:after="240" w:before="0" w:lineRule="auto"/>
        <w:rPr/>
      </w:pPr>
      <w:r w:rsidDel="00000000" w:rsidR="00000000" w:rsidRPr="00000000">
        <w:rPr>
          <w:rtl w:val="0"/>
        </w:rPr>
      </w:r>
    </w:p>
    <w:p w:rsidR="00000000" w:rsidDel="00000000" w:rsidP="00000000" w:rsidRDefault="00000000" w:rsidRPr="00000000" w14:paraId="00000004">
      <w:pPr>
        <w:keepNext w:val="0"/>
        <w:keepLines w:val="0"/>
        <w:spacing w:after="160" w:before="0" w:line="276" w:lineRule="auto"/>
        <w:jc w:val="left"/>
        <w:rPr/>
      </w:pPr>
      <w:r w:rsidDel="00000000" w:rsidR="00000000" w:rsidRPr="00000000">
        <w:rPr>
          <w:rFonts w:ascii="Arial" w:cs="Arial" w:eastAsia="Arial" w:hAnsi="Arial"/>
          <w:b w:val="1"/>
          <w:bCs w:val="1"/>
          <w:i w:val="0"/>
          <w:iCs w:val="0"/>
          <w:color w:val="2b5374"/>
          <w:sz w:val="18"/>
          <w:szCs w:val="18"/>
          <w:rtl w:val="0"/>
        </w:rPr>
        <w:t xml:space="preserve">CAPSTONE APT, DUOC UC SEDE ANTONIO VARAS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Arial" w:cs="Arial" w:eastAsia="Arial" w:hAnsi="Arial"/>
          <w:b w:val="1"/>
          <w:bCs w:val="1"/>
          <w:color w:val="043f57"/>
          <w:sz w:val="60"/>
          <w:szCs w:val="60"/>
          <w:rtl w:val="0"/>
        </w:rPr>
        <w:t xml:space="preserve">Ficha de producto y proyecto</w:t>
      </w:r>
      <w:r w:rsidDel="00000000" w:rsidR="00000000" w:rsidRPr="00000000">
        <w:rPr>
          <w:rtl w:val="0"/>
        </w:rPr>
      </w:r>
    </w:p>
    <w:p w:rsidR="00000000" w:rsidDel="00000000" w:rsidP="00000000" w:rsidRDefault="00000000" w:rsidRPr="00000000" w14:paraId="00000006">
      <w:pPr>
        <w:spacing w:after="120" w:before="0" w:line="300" w:lineRule="auto"/>
        <w:rPr/>
      </w:pPr>
      <w:r w:rsidDel="00000000" w:rsidR="00000000" w:rsidRPr="00000000">
        <w:rPr>
          <w:rFonts w:ascii="Arial" w:cs="Arial" w:eastAsia="Arial" w:hAnsi="Arial"/>
          <w:color w:val="0a506a"/>
          <w:sz w:val="28"/>
          <w:szCs w:val="28"/>
          <w:rtl w:val="0"/>
        </w:rPr>
        <w:t xml:space="preserve">Sistema de Análisis y Anticipación de Demanda de Urgencia en Salud Mental para la Región Metropolitana</w:t>
      </w:r>
      <w:r w:rsidDel="00000000" w:rsidR="00000000" w:rsidRPr="00000000">
        <w:rPr>
          <w:rtl w:val="0"/>
        </w:rPr>
      </w:r>
    </w:p>
    <w:p w:rsidR="00000000" w:rsidDel="00000000" w:rsidP="00000000" w:rsidRDefault="00000000" w:rsidRPr="00000000" w14:paraId="00000007">
      <w:pPr>
        <w:keepNext w:val="0"/>
        <w:keepLines w:val="0"/>
        <w:spacing w:after="480" w:before="0" w:line="276" w:lineRule="auto"/>
        <w:jc w:val="left"/>
        <w:rPr/>
      </w:pPr>
      <w:r w:rsidDel="00000000" w:rsidR="00000000" w:rsidRPr="00000000">
        <w:rPr>
          <w:rFonts w:ascii="Arial" w:cs="Arial" w:eastAsia="Arial" w:hAnsi="Arial"/>
          <w:b w:val="0"/>
          <w:bCs w:val="0"/>
          <w:i w:val="0"/>
          <w:iCs w:val="0"/>
          <w:color w:val="2b5374"/>
          <w:sz w:val="22"/>
          <w:szCs w:val="22"/>
          <w:rtl w:val="0"/>
        </w:rPr>
        <w:t xml:space="preserve">Nombre abreviado: SAAD</w:t>
      </w:r>
      <w:r w:rsidDel="00000000" w:rsidR="00000000" w:rsidRPr="00000000">
        <w:rPr>
          <w:rtl w:val="0"/>
        </w:rPr>
      </w:r>
    </w:p>
    <w:tbl>
      <w:tblPr>
        <w:tblStyle w:val="Table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272"/>
        <w:tblGridChange w:id="0">
          <w:tblGrid>
            <w:gridCol w:w="2700"/>
            <w:gridCol w:w="7272"/>
          </w:tblGrid>
        </w:tblGridChange>
      </w:tblGrid>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tcPr>
          <w:p w:rsidR="00000000" w:rsidDel="00000000" w:rsidP="00000000" w:rsidRDefault="00000000" w:rsidRPr="00000000" w14:paraId="00000008">
            <w:pPr>
              <w:keepNext w:val="0"/>
              <w:spacing w:after="0" w:before="0" w:line="252.00000000000003" w:lineRule="auto"/>
              <w:jc w:val="left"/>
              <w:rPr/>
            </w:pPr>
            <w:r w:rsidDel="00000000" w:rsidR="00000000" w:rsidRPr="00000000">
              <w:rPr>
                <w:rFonts w:ascii="Arial" w:cs="Arial" w:eastAsia="Arial" w:hAnsi="Arial"/>
                <w:b w:val="1"/>
                <w:bCs w:val="1"/>
                <w:i w:val="0"/>
                <w:iCs w:val="0"/>
                <w:color w:val="0a506a"/>
                <w:sz w:val="19"/>
                <w:szCs w:val="19"/>
                <w:rtl w:val="0"/>
              </w:rPr>
              <w:t xml:space="preserve">Versión</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0.0" w:type="dxa"/>
            </w:tcMar>
          </w:tcPr>
          <w:p w:rsidR="00000000" w:rsidDel="00000000" w:rsidP="00000000" w:rsidRDefault="00000000" w:rsidRPr="00000000" w14:paraId="00000009">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9"/>
                <w:szCs w:val="19"/>
                <w:rtl w:val="0"/>
              </w:rPr>
              <w:t xml:space="preserve">2.0, revisión de la versión 1.0 del 22 de septiembre de 2026</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tcPr>
          <w:p w:rsidR="00000000" w:rsidDel="00000000" w:rsidP="00000000" w:rsidRDefault="00000000" w:rsidRPr="00000000" w14:paraId="0000000A">
            <w:pPr>
              <w:keepNext w:val="0"/>
              <w:spacing w:after="0" w:before="0" w:line="252.00000000000003" w:lineRule="auto"/>
              <w:jc w:val="left"/>
              <w:rPr/>
            </w:pPr>
            <w:r w:rsidDel="00000000" w:rsidR="00000000" w:rsidRPr="00000000">
              <w:rPr>
                <w:rFonts w:ascii="Arial" w:cs="Arial" w:eastAsia="Arial" w:hAnsi="Arial"/>
                <w:b w:val="1"/>
                <w:bCs w:val="1"/>
                <w:i w:val="0"/>
                <w:iCs w:val="0"/>
                <w:color w:val="0a506a"/>
                <w:sz w:val="19"/>
                <w:szCs w:val="19"/>
                <w:rtl w:val="0"/>
              </w:rPr>
              <w:t xml:space="preserve">Fecha de esta revisión</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0.0" w:type="dxa"/>
            </w:tcMar>
          </w:tcPr>
          <w:p w:rsidR="00000000" w:rsidDel="00000000" w:rsidP="00000000" w:rsidRDefault="00000000" w:rsidRPr="00000000" w14:paraId="0000000B">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9"/>
                <w:szCs w:val="19"/>
                <w:rtl w:val="0"/>
              </w:rPr>
              <w:t xml:space="preserve">8 de octubre de 2026</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tcPr>
          <w:p w:rsidR="00000000" w:rsidDel="00000000" w:rsidP="00000000" w:rsidRDefault="00000000" w:rsidRPr="00000000" w14:paraId="0000000C">
            <w:pPr>
              <w:keepNext w:val="0"/>
              <w:spacing w:after="0" w:before="0" w:line="252.00000000000003" w:lineRule="auto"/>
              <w:jc w:val="left"/>
              <w:rPr/>
            </w:pPr>
            <w:r w:rsidDel="00000000" w:rsidR="00000000" w:rsidRPr="00000000">
              <w:rPr>
                <w:rFonts w:ascii="Arial" w:cs="Arial" w:eastAsia="Arial" w:hAnsi="Arial"/>
                <w:b w:val="1"/>
                <w:bCs w:val="1"/>
                <w:i w:val="0"/>
                <w:iCs w:val="0"/>
                <w:color w:val="0a506a"/>
                <w:sz w:val="19"/>
                <w:szCs w:val="19"/>
                <w:rtl w:val="0"/>
              </w:rPr>
              <w:t xml:space="preserve">Próxima entrega</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0.0" w:type="dxa"/>
            </w:tcMar>
          </w:tcPr>
          <w:p w:rsidR="00000000" w:rsidDel="00000000" w:rsidP="00000000" w:rsidRDefault="00000000" w:rsidRPr="00000000" w14:paraId="0000000D">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9"/>
                <w:szCs w:val="19"/>
                <w:rtl w:val="0"/>
              </w:rPr>
              <w:t xml:space="preserve">15 de octubre de 2026 (Fase 2.1, avance y documentación)</w:t>
            </w:r>
            <w:r w:rsidDel="00000000" w:rsidR="00000000" w:rsidRPr="00000000">
              <w:rPr>
                <w:rtl w:val="0"/>
              </w:rPr>
            </w:r>
          </w:p>
        </w:tc>
      </w:tr>
      <w:tr>
        <w:trPr>
          <w:cantSplit w:val="1"/>
          <w:tblHeader w:val="0"/>
        </w:trPr>
        <w:tc>
          <w:tcPr>
            <w:tcBorders>
              <w:top w:color="000000" w:space="0" w:sz="0" w:val="nil"/>
              <w:left w:color="000000" w:space="0" w:sz="0" w:val="nil"/>
              <w:bottom w:color="80bda8" w:space="0" w:sz="4" w:val="single"/>
              <w:right w:color="000000" w:space="0" w:sz="0" w:val="nil"/>
            </w:tcBorders>
            <w:tcMar>
              <w:top w:w="100.0" w:type="dxa"/>
              <w:left w:w="0.0" w:type="dxa"/>
              <w:bottom w:w="100.0" w:type="dxa"/>
              <w:right w:w="100.0" w:type="dxa"/>
            </w:tcMar>
          </w:tcPr>
          <w:p w:rsidR="00000000" w:rsidDel="00000000" w:rsidP="00000000" w:rsidRDefault="00000000" w:rsidRPr="00000000" w14:paraId="0000000E">
            <w:pPr>
              <w:keepNext w:val="0"/>
              <w:spacing w:after="0" w:before="0" w:line="252.00000000000003" w:lineRule="auto"/>
              <w:jc w:val="left"/>
              <w:rPr/>
            </w:pPr>
            <w:r w:rsidDel="00000000" w:rsidR="00000000" w:rsidRPr="00000000">
              <w:rPr>
                <w:rFonts w:ascii="Arial" w:cs="Arial" w:eastAsia="Arial" w:hAnsi="Arial"/>
                <w:b w:val="1"/>
                <w:bCs w:val="1"/>
                <w:i w:val="0"/>
                <w:iCs w:val="0"/>
                <w:color w:val="0a506a"/>
                <w:sz w:val="19"/>
                <w:szCs w:val="19"/>
                <w:rtl w:val="0"/>
              </w:rPr>
              <w:t xml:space="preserve">Equipo</w:t>
            </w:r>
            <w:r w:rsidDel="00000000" w:rsidR="00000000" w:rsidRPr="00000000">
              <w:rPr>
                <w:rtl w:val="0"/>
              </w:rPr>
            </w:r>
          </w:p>
        </w:tc>
        <w:tc>
          <w:tcPr>
            <w:tcBorders>
              <w:top w:color="000000" w:space="0" w:sz="0" w:val="nil"/>
              <w:left w:color="000000" w:space="0" w:sz="0" w:val="nil"/>
              <w:bottom w:color="80bda8" w:space="0" w:sz="4" w:val="single"/>
              <w:right w:color="000000" w:space="0" w:sz="0" w:val="nil"/>
            </w:tcBorders>
            <w:tcMar>
              <w:top w:w="100.0" w:type="dxa"/>
              <w:left w:w="100.0" w:type="dxa"/>
              <w:bottom w:w="100.0" w:type="dxa"/>
              <w:right w:w="0.0" w:type="dxa"/>
            </w:tcMar>
          </w:tcPr>
          <w:p w:rsidR="00000000" w:rsidDel="00000000" w:rsidP="00000000" w:rsidRDefault="00000000" w:rsidRPr="00000000" w14:paraId="0000000F">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9"/>
                <w:szCs w:val="19"/>
                <w:rtl w:val="0"/>
              </w:rPr>
              <w:t xml:space="preserve">Cristopher Rojas, Camila Aroca Muñoz, Felipe Rivera y Catalina Rodríguez</w:t>
            </w:r>
            <w:r w:rsidDel="00000000" w:rsidR="00000000" w:rsidRPr="00000000">
              <w:rPr>
                <w:rtl w:val="0"/>
              </w:rPr>
            </w:r>
          </w:p>
        </w:tc>
      </w:tr>
    </w:tbl>
    <w:p w:rsidR="00000000" w:rsidDel="00000000" w:rsidP="00000000" w:rsidRDefault="00000000" w:rsidRPr="00000000" w14:paraId="00000010">
      <w:pPr>
        <w:keepNext w:val="0"/>
        <w:keepLines w:val="0"/>
        <w:spacing w:after="0" w:before="0" w:line="276" w:lineRule="auto"/>
        <w:jc w:val="left"/>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pBdr>
          <w:bottom w:color="80bda8" w:space="4" w:sz="12" w:val="single"/>
        </w:pBdr>
        <w:spacing w:after="140" w:before="0" w:lineRule="auto"/>
        <w:rPr/>
      </w:pPr>
      <w:r w:rsidDel="00000000" w:rsidR="00000000" w:rsidRPr="00000000">
        <w:rPr>
          <w:rFonts w:ascii="Arial" w:cs="Arial" w:eastAsia="Arial" w:hAnsi="Arial"/>
          <w:b w:val="1"/>
          <w:bCs w:val="1"/>
          <w:color w:val="043f57"/>
          <w:sz w:val="30"/>
          <w:szCs w:val="30"/>
          <w:rtl w:val="0"/>
        </w:rPr>
        <w:t xml:space="preserve">1. Resumen</w:t>
      </w:r>
      <w:r w:rsidDel="00000000" w:rsidR="00000000" w:rsidRPr="00000000">
        <w:rPr>
          <w:rtl w:val="0"/>
        </w:rPr>
      </w:r>
    </w:p>
    <w:p w:rsidR="00000000" w:rsidDel="00000000" w:rsidP="00000000" w:rsidRDefault="00000000" w:rsidRPr="00000000" w14:paraId="00000014">
      <w:pPr>
        <w:keepNext w:val="0"/>
        <w:keepLines w:val="0"/>
        <w:spacing w:after="12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SAAD es una plataforma analítica web que apoya la planificación de la red de urgencia en salud mental de la Región Metropolitana. Reúne datos públicos oficiales (DEIS/MINSAL, INE y Ministerio de Desarrollo Social) en un proceso reproducible y los entrega como series semanales, pronósticos de atenciones a 4 a 8 semanas con intervalo de predicción y un mapa comunal de variación esperada.</w:t>
      </w:r>
      <w:r w:rsidDel="00000000" w:rsidR="00000000" w:rsidRPr="00000000">
        <w:rPr>
          <w:rtl w:val="0"/>
        </w:rPr>
      </w:r>
    </w:p>
    <w:p w:rsidR="00000000" w:rsidDel="00000000" w:rsidP="00000000" w:rsidRDefault="00000000" w:rsidRPr="00000000" w14:paraId="00000015">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2. Problema y propuesta</w:t>
      </w:r>
      <w:r w:rsidDel="00000000" w:rsidR="00000000" w:rsidRPr="00000000">
        <w:rPr>
          <w:rtl w:val="0"/>
        </w:rPr>
      </w:r>
    </w:p>
    <w:p w:rsidR="00000000" w:rsidDel="00000000" w:rsidP="00000000" w:rsidRDefault="00000000" w:rsidRPr="00000000" w14:paraId="00000016">
      <w:pPr>
        <w:keepNext w:val="0"/>
        <w:keepLines w:val="0"/>
        <w:spacing w:after="12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La planificación de la red pública de urgencia en salud mental es en gran parte reactiva. Los datos existen: el DEIS/MINSAL publica atenciones de urgencia y egresos hospitalarios, y el INE, la encuesta Casen y OpenStreetMap aportan contexto territorial. Sin embargo, las fuentes están fragmentadas, tienen granularidades distintas y requieren integración y control de calidad antes de poder compararse entre territorios.</w:t>
      </w:r>
      <w:r w:rsidDel="00000000" w:rsidR="00000000" w:rsidRPr="00000000">
        <w:rPr>
          <w:rtl w:val="0"/>
        </w:rPr>
      </w:r>
    </w:p>
    <w:p w:rsidR="00000000" w:rsidDel="00000000" w:rsidP="00000000" w:rsidRDefault="00000000" w:rsidRPr="00000000" w14:paraId="00000017">
      <w:pPr>
        <w:keepNext w:val="1"/>
        <w:keepLines w:val="0"/>
        <w:spacing w:after="8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Con esos datos, SAAD busca responder tres preguntas de planificación: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Demanda futura.</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Dónde puede concentrarse la presión asistencial en las próximas 4 a 8 semanas.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Accesibilidad territorial.</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Qué territorios tienen peor acceso a la red de urgencia, según tiempos de viaje por red vial y transporte público, cruzados con vulnerabilidad socioeconómica y oferta.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60" w:right="0" w:hanging="260"/>
        <w:jc w:val="left"/>
        <w:rPr/>
      </w:pPr>
      <w:r w:rsidDel="00000000" w:rsidR="00000000" w:rsidRPr="00000000">
        <w:rPr>
          <w:rFonts w:ascii="Arial" w:cs="Arial" w:eastAsia="Arial" w:hAnsi="Arial"/>
          <w:b w:val="1"/>
          <w:bCs w:val="1"/>
          <w:i w:val="0"/>
          <w:iCs w:val="0"/>
          <w:smallCaps w:val="0"/>
          <w:strike w:val="0"/>
          <w:color w:val="043f57"/>
          <w:sz w:val="20"/>
          <w:szCs w:val="20"/>
          <w:u w:val="none"/>
          <w:shd w:fill="auto" w:val="clear"/>
          <w:vertAlign w:val="baseline"/>
          <w:rtl w:val="0"/>
        </w:rPr>
        <w:t xml:space="preserve">Hospitalización psiquiátrica.</w:t>
      </w: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 Cómo se comportan los egresos F00 a F99, su duración de estadía y los factores asociados (sexo, previsión y pertenencia al SNSS).</w:t>
      </w:r>
    </w:p>
    <w:p w:rsidR="00000000" w:rsidDel="00000000" w:rsidP="00000000" w:rsidRDefault="00000000" w:rsidRPr="00000000" w14:paraId="0000001B">
      <w:pPr>
        <w:keepNext w:val="0"/>
        <w:keepLines w:val="0"/>
        <w:spacing w:after="12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El proyecto nació de una entrevista con la psicóloga Belén Guzmán, quien describió que la búsqueda de cupos de hospitalización para pacientes en crisis se hace institución por institución y a través de contactos personales. La disponibilidad de cupos en tiempo real quedó fuera del alcance porque exige coordinación entre instituciones, y el proyecto se orientó a la planificación con datos públicos agregados.</w:t>
      </w:r>
      <w:r w:rsidDel="00000000" w:rsidR="00000000" w:rsidRPr="00000000">
        <w:rPr>
          <w:rtl w:val="0"/>
        </w:rPr>
      </w:r>
    </w:p>
    <w:p w:rsidR="00000000" w:rsidDel="00000000" w:rsidP="00000000" w:rsidRDefault="00000000" w:rsidRPr="00000000" w14:paraId="0000001C">
      <w:pPr>
        <w:keepNext w:val="0"/>
        <w:keepLines w:val="0"/>
        <w:spacing w:after="12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SAAD apoya el análisis y la planificación sanitaria territorial. No es un sistema clínico, no gestiona pacientes ni cupos y no promete impacto clínico: Urgencias y Egresos no se enlazan a nivel de paciente, y el sistema no se ha validado para ese uso. Entrega evidencia agregada para priorizar recursos de planificación y no reemplaza el juicio profesional.</w:t>
      </w:r>
      <w:r w:rsidDel="00000000" w:rsidR="00000000" w:rsidRPr="00000000">
        <w:rPr>
          <w:rtl w:val="0"/>
        </w:rPr>
      </w:r>
    </w:p>
    <w:p w:rsidR="00000000" w:rsidDel="00000000" w:rsidP="00000000" w:rsidRDefault="00000000" w:rsidRPr="00000000" w14:paraId="0000001D">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3. Estado del producto</w:t>
      </w:r>
      <w:r w:rsidDel="00000000" w:rsidR="00000000" w:rsidRPr="00000000">
        <w:rPr>
          <w:rtl w:val="0"/>
        </w:rPr>
      </w:r>
    </w:p>
    <w:p w:rsidR="00000000" w:rsidDel="00000000" w:rsidP="00000000" w:rsidRDefault="00000000" w:rsidRPr="00000000" w14:paraId="0000001E">
      <w:pPr>
        <w:keepNext w:val="1"/>
        <w:keepLines w:val="0"/>
        <w:spacing w:after="10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Cada capacidad se clasifica en uno de tres niveles. Un mismo componente puede aparecer en más de uno, porque existir, haberse demostrado y estar por completarse son cosas distintas.</w:t>
      </w:r>
      <w:r w:rsidDel="00000000" w:rsidR="00000000" w:rsidRPr="00000000">
        <w:rPr>
          <w:rtl w:val="0"/>
        </w:rPr>
      </w:r>
    </w:p>
    <w:tbl>
      <w:tblPr>
        <w:tblStyle w:val="Table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4"/>
        <w:gridCol w:w="3324"/>
        <w:gridCol w:w="3324"/>
        <w:tblGridChange w:id="0">
          <w:tblGrid>
            <w:gridCol w:w="3324"/>
            <w:gridCol w:w="3324"/>
            <w:gridCol w:w="3324"/>
          </w:tblGrid>
        </w:tblGridChange>
      </w:tblGrid>
      <w:tr>
        <w:trPr>
          <w:cantSplit w:val="1"/>
          <w:tblHeader w:val="0"/>
        </w:trPr>
        <w:tc>
          <w:tcPr>
            <w:tcBorders>
              <w:top w:color="ffffff" w:space="0" w:sz="24" w:val="single"/>
              <w:left w:color="ffffff" w:space="0" w:sz="24" w:val="single"/>
              <w:bottom w:color="ffffff" w:space="0" w:sz="24" w:val="single"/>
              <w:right w:color="ffffff" w:space="0" w:sz="24" w:val="single"/>
            </w:tcBorders>
            <w:shd w:fill="80bda8" w:val="clear"/>
            <w:tcMar>
              <w:top w:w="100.0" w:type="dxa"/>
              <w:left w:w="130.0" w:type="dxa"/>
              <w:bottom w:w="100.0" w:type="dxa"/>
              <w:right w:w="130.0" w:type="dxa"/>
            </w:tcMar>
          </w:tcPr>
          <w:p w:rsidR="00000000" w:rsidDel="00000000" w:rsidP="00000000" w:rsidRDefault="00000000" w:rsidRPr="00000000" w14:paraId="0000001F">
            <w:pPr>
              <w:spacing w:after="40" w:before="0" w:lineRule="auto"/>
              <w:rPr/>
            </w:pPr>
            <w:r w:rsidDel="00000000" w:rsidR="00000000" w:rsidRPr="00000000">
              <w:rPr>
                <w:rFonts w:ascii="Arial" w:cs="Arial" w:eastAsia="Arial" w:hAnsi="Arial"/>
                <w:b w:val="1"/>
                <w:bCs w:val="1"/>
                <w:color w:val="043f57"/>
                <w:sz w:val="20"/>
                <w:szCs w:val="20"/>
                <w:rtl w:val="0"/>
              </w:rPr>
              <w:t xml:space="preserve">Implementado</w:t>
            </w: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Fonts w:ascii="Arial" w:cs="Arial" w:eastAsia="Arial" w:hAnsi="Arial"/>
                <w:color w:val="043f57"/>
                <w:sz w:val="17"/>
                <w:szCs w:val="17"/>
                <w:rtl w:val="0"/>
              </w:rPr>
              <w:t xml:space="preserve">El componente existe en el repositorio y se puede ejecutar.</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2a74a5" w:val="clear"/>
            <w:tcMar>
              <w:top w:w="100.0" w:type="dxa"/>
              <w:left w:w="130.0" w:type="dxa"/>
              <w:bottom w:w="100.0" w:type="dxa"/>
              <w:right w:w="130.0" w:type="dxa"/>
            </w:tcMar>
          </w:tcPr>
          <w:p w:rsidR="00000000" w:rsidDel="00000000" w:rsidP="00000000" w:rsidRDefault="00000000" w:rsidRPr="00000000" w14:paraId="00000021">
            <w:pPr>
              <w:spacing w:after="40" w:before="0" w:lineRule="auto"/>
              <w:rPr/>
            </w:pPr>
            <w:r w:rsidDel="00000000" w:rsidR="00000000" w:rsidRPr="00000000">
              <w:rPr>
                <w:rFonts w:ascii="Arial" w:cs="Arial" w:eastAsia="Arial" w:hAnsi="Arial"/>
                <w:b w:val="1"/>
                <w:bCs w:val="1"/>
                <w:color w:val="ffffff"/>
                <w:sz w:val="20"/>
                <w:szCs w:val="20"/>
                <w:rtl w:val="0"/>
              </w:rPr>
              <w:t xml:space="preserve">Demostrado</w:t>
            </w: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Fonts w:ascii="Arial" w:cs="Arial" w:eastAsia="Arial" w:hAnsi="Arial"/>
                <w:color w:val="ffffff"/>
                <w:sz w:val="17"/>
                <w:szCs w:val="17"/>
                <w:rtl w:val="0"/>
              </w:rPr>
              <w:t xml:space="preserve">Hay ejecuciones o resultados documentados que se pueden reproducir.</w:t>
            </w:r>
            <w:r w:rsidDel="00000000" w:rsidR="00000000" w:rsidRPr="00000000">
              <w:rPr>
                <w:rtl w:val="0"/>
              </w:rPr>
            </w:r>
          </w:p>
        </w:tc>
        <w:tc>
          <w:tcPr>
            <w:tcBorders>
              <w:top w:color="ffffff" w:space="0" w:sz="24" w:val="single"/>
              <w:left w:color="ffffff" w:space="0" w:sz="24" w:val="single"/>
              <w:bottom w:color="ffffff" w:space="0" w:sz="24" w:val="single"/>
              <w:right w:color="ffffff" w:space="0" w:sz="24" w:val="single"/>
            </w:tcBorders>
            <w:shd w:fill="eca840" w:val="clear"/>
            <w:tcMar>
              <w:top w:w="100.0" w:type="dxa"/>
              <w:left w:w="130.0" w:type="dxa"/>
              <w:bottom w:w="100.0" w:type="dxa"/>
              <w:right w:w="130.0" w:type="dxa"/>
            </w:tcMar>
          </w:tcPr>
          <w:p w:rsidR="00000000" w:rsidDel="00000000" w:rsidP="00000000" w:rsidRDefault="00000000" w:rsidRPr="00000000" w14:paraId="00000023">
            <w:pPr>
              <w:spacing w:after="40" w:before="0" w:lineRule="auto"/>
              <w:rPr/>
            </w:pPr>
            <w:r w:rsidDel="00000000" w:rsidR="00000000" w:rsidRPr="00000000">
              <w:rPr>
                <w:rFonts w:ascii="Arial" w:cs="Arial" w:eastAsia="Arial" w:hAnsi="Arial"/>
                <w:b w:val="1"/>
                <w:bCs w:val="1"/>
                <w:color w:val="043f57"/>
                <w:sz w:val="20"/>
                <w:szCs w:val="20"/>
                <w:rtl w:val="0"/>
              </w:rPr>
              <w:t xml:space="preserve">Previsto</w:t>
            </w: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color w:val="043f57"/>
                <w:sz w:val="17"/>
                <w:szCs w:val="17"/>
                <w:rtl w:val="0"/>
              </w:rPr>
              <w:t xml:space="preserve">Está planificado y todavía no existe.</w:t>
            </w:r>
            <w:r w:rsidDel="00000000" w:rsidR="00000000" w:rsidRPr="00000000">
              <w:rPr>
                <w:rtl w:val="0"/>
              </w:rPr>
            </w:r>
          </w:p>
        </w:tc>
      </w:tr>
    </w:tbl>
    <w:p w:rsidR="00000000" w:rsidDel="00000000" w:rsidP="00000000" w:rsidRDefault="00000000" w:rsidRPr="00000000" w14:paraId="00000025">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3.1 Implementado</w:t>
      </w:r>
      <w:r w:rsidDel="00000000" w:rsidR="00000000" w:rsidRPr="00000000">
        <w:rPr>
          <w:rtl w:val="0"/>
        </w:rPr>
      </w:r>
    </w:p>
    <w:tbl>
      <w:tblPr>
        <w:tblStyle w:val="Table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1"/>
        </w:trPr>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center"/>
          </w:tcPr>
          <w:p w:rsidR="00000000" w:rsidDel="00000000" w:rsidP="00000000" w:rsidRDefault="00000000" w:rsidRPr="00000000" w14:paraId="00000026">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Componente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80.0" w:type="dxa"/>
              <w:left w:w="110.0" w:type="dxa"/>
              <w:bottom w:w="80.0" w:type="dxa"/>
              <w:right w:w="110.0" w:type="dxa"/>
            </w:tcMar>
            <w:vAlign w:val="center"/>
          </w:tcPr>
          <w:p w:rsidR="00000000" w:rsidDel="00000000" w:rsidP="00000000" w:rsidRDefault="00000000" w:rsidRPr="00000000" w14:paraId="00000027">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Qué incluye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8">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Pipeline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9">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31 etapas que se ejecutan en orden: descarga, limpieza, validación y construcción de tablas analíticas. Registra la procedencia de cada archivo fuente con huella SHA256 y valida sus salidas con contratos de datos.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A">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Datos integrados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B">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Urgencias 2020 a 2026 y Egresos 2020 a 2025 (DEIS/MINSAL); Censo 2024 y proyecciones de población (INE); vulnerabilidad Casen 2022 (Ministerio de Desarrollo Social); oferta de urgencia con 174 establecimientos; indicadores oficiales de salud mental por sexo. Egresos F00 a F99: 218.794 registros nacionales.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C">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Modelos de pronóstico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D">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Baseline estacional, regresión de Poisson, LightGBM, modelos híbridos, jerarquía por Servicio de Salud, intervalos por predicción conforme, backtesting y evaluación en holdout. El modelo seleccionado combina regresión de Poisson para la región y LightGBM para las comunas, con intervalos conformes.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E">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API</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2F">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API REST de solo lectura (FastAPI) con siete consultas: estado, metadatos, territorios, serie con pronóstico, pronósticos, resumen comunal y geometría de comunas. Mientras calcula el pronóstico responde con un aviso de reintento y no muestra un cero.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0">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Tablero web</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1">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Aplicación React con TypeScript: serie semanal con pronóstico a 4 a 8 semanas, mapa comunal de variación esperada, tabla resumen, avisos de interpretación y delimitación del alcance. Un dato ausente se muestra como «sin dato» o «sin pronóstico».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2">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Documentación técnica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3">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Diccionarios de datos, informes exploratorios, modelo de datos con DDL para PostgreSQL/PostGIS y diagramas UML de casos de uso, componentes y clases.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4">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Pruebas automatizadas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5">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373 funciones de prueba en 31 archivos, que cubren el pipeline, los modelos, el cálculo de holdout, los contratos de salida y la API.</w:t>
            </w:r>
            <w:r w:rsidDel="00000000" w:rsidR="00000000" w:rsidRPr="00000000">
              <w:rPr>
                <w:rtl w:val="0"/>
              </w:rPr>
            </w:r>
          </w:p>
        </w:tc>
      </w:tr>
    </w:tbl>
    <w:p w:rsidR="00000000" w:rsidDel="00000000" w:rsidP="00000000" w:rsidRDefault="00000000" w:rsidRPr="00000000" w14:paraId="00000036">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3.2 Demostrado</w:t>
      </w:r>
      <w:r w:rsidDel="00000000" w:rsidR="00000000" w:rsidRPr="00000000">
        <w:rPr>
          <w:rtl w:val="0"/>
        </w:rPr>
      </w:r>
    </w:p>
    <w:tbl>
      <w:tblPr>
        <w:tblStyle w:val="Table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1"/>
        </w:trPr>
        <w:tc>
          <w:tcPr>
            <w:tcBorders>
              <w:top w:color="2a74a5" w:space="0" w:sz="4" w:val="single"/>
              <w:left w:color="2a74a5" w:space="0" w:sz="4" w:val="single"/>
              <w:bottom w:color="2a74a5" w:space="0" w:sz="4" w:val="single"/>
              <w:right w:color="2a74a5" w:space="0" w:sz="4" w:val="single"/>
            </w:tcBorders>
            <w:shd w:fill="2a74a5" w:val="clear"/>
            <w:tcMar>
              <w:top w:w="80.0" w:type="dxa"/>
              <w:left w:w="110.0" w:type="dxa"/>
              <w:bottom w:w="80.0" w:type="dxa"/>
              <w:right w:w="110.0" w:type="dxa"/>
            </w:tcMar>
            <w:vAlign w:val="center"/>
          </w:tcPr>
          <w:p w:rsidR="00000000" w:rsidDel="00000000" w:rsidP="00000000" w:rsidRDefault="00000000" w:rsidRPr="00000000" w14:paraId="00000037">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Evidencia</w:t>
            </w:r>
            <w:r w:rsidDel="00000000" w:rsidR="00000000" w:rsidRPr="00000000">
              <w:rPr>
                <w:rtl w:val="0"/>
              </w:rPr>
            </w:r>
          </w:p>
        </w:tc>
        <w:tc>
          <w:tcPr>
            <w:tcBorders>
              <w:top w:color="2a74a5" w:space="0" w:sz="4" w:val="single"/>
              <w:left w:color="2a74a5" w:space="0" w:sz="4" w:val="single"/>
              <w:bottom w:color="2a74a5" w:space="0" w:sz="4" w:val="single"/>
              <w:right w:color="2a74a5" w:space="0" w:sz="4" w:val="single"/>
            </w:tcBorders>
            <w:shd w:fill="2a74a5" w:val="clear"/>
            <w:tcMar>
              <w:top w:w="80.0" w:type="dxa"/>
              <w:left w:w="110.0" w:type="dxa"/>
              <w:bottom w:w="80.0" w:type="dxa"/>
              <w:right w:w="110.0" w:type="dxa"/>
            </w:tcMar>
            <w:vAlign w:val="center"/>
          </w:tcPr>
          <w:p w:rsidR="00000000" w:rsidDel="00000000" w:rsidP="00000000" w:rsidRDefault="00000000" w:rsidRPr="00000000" w14:paraId="00000038">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Resultado</w:t>
            </w:r>
            <w:r w:rsidDel="00000000" w:rsidR="00000000" w:rsidRPr="00000000">
              <w:rPr>
                <w:rtl w:val="0"/>
              </w:rPr>
            </w:r>
          </w:p>
        </w:tc>
      </w:tr>
      <w:tr>
        <w:trPr>
          <w:cantSplit w:val="1"/>
          <w:tblHeader w:val="1"/>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9">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Corrida certificada del pipeline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A">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Corrida completa del 7 de octubre de 2026 que terminó sin errores. Las 77 salidas validadas superaron sus contratos de datos. El procesado de Urgencias 2026 tiene contenido idéntico al anterior (1.672.431 filas).</w:t>
            </w:r>
            <w:r w:rsidDel="00000000" w:rsidR="00000000" w:rsidRPr="00000000">
              <w:rPr>
                <w:rtl w:val="0"/>
              </w:rPr>
            </w:r>
          </w:p>
        </w:tc>
      </w:tr>
      <w:tr>
        <w:trPr>
          <w:cantSplit w:val="1"/>
          <w:tblHeader w:val="1"/>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B">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Backtest 2021 a 2025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C">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Trece modelos candidatos sobre 52 series (51 comunas y la región), con 13 orígenes de pronóstico y horizontes de 4 a 8 semanas. El modelo seleccionado obtuvo MASE de 0,595 en la región y 0,676 en comunas, frente a 0,787 y 0,922 del baseline estacional.</w:t>
            </w:r>
            <w:r w:rsidDel="00000000" w:rsidR="00000000" w:rsidRPr="00000000">
              <w:rPr>
                <w:rtl w:val="0"/>
              </w:rPr>
            </w:r>
          </w:p>
        </w:tc>
      </w:tr>
      <w:tr>
        <w:trPr>
          <w:cantSplit w:val="1"/>
          <w:tblHeader w:val="1"/>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D">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Holdout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E">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Evaluación del modelo ya seleccionado en un período que no intervino en la selección (31 orígenes, semanas 4 a 38 de 2026). Redujo el error frente al baseline en 23,5 % en la región y 26,8 % en comunas, con diferencias estadísticamente significativas (Wilcoxon pareado, p &lt; 0,001).</w:t>
            </w:r>
            <w:r w:rsidDel="00000000" w:rsidR="00000000" w:rsidRPr="00000000">
              <w:rPr>
                <w:rtl w:val="0"/>
              </w:rPr>
            </w:r>
          </w:p>
        </w:tc>
      </w:tr>
      <w:tr>
        <w:trPr>
          <w:cantSplit w:val="1"/>
          <w:tblHeader w:val="1"/>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3F">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Calibración de intervalos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0">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No se sostuvo en 2026: el intervalo de 80 % cubrió 0,70 de las observaciones en la región y 0,77 en comunas. El informe concluye que la selección del modelo se sostiene solo parcialmente.</w:t>
            </w:r>
            <w:r w:rsidDel="00000000" w:rsidR="00000000" w:rsidRPr="00000000">
              <w:rPr>
                <w:rtl w:val="0"/>
              </w:rPr>
            </w:r>
          </w:p>
        </w:tc>
      </w:tr>
      <w:tr>
        <w:trPr>
          <w:cantSplit w:val="1"/>
          <w:tblHeader w:val="1"/>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1">
            <w:pPr>
              <w:spacing w:line="252.00000000000003" w:lineRule="auto"/>
              <w:rPr/>
            </w:pPr>
            <w:r w:rsidDel="00000000" w:rsidR="00000000" w:rsidRPr="00000000">
              <w:rPr>
                <w:b w:val="1"/>
                <w:bCs w:val="1"/>
                <w:sz w:val="18"/>
                <w:szCs w:val="18"/>
                <w:rtl w:val="0"/>
              </w:rPr>
              <w:t xml:space="preserve">Demostración y validación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2">
            <w:pPr>
              <w:spacing w:line="252.00000000000003" w:lineRule="auto"/>
              <w:rPr/>
            </w:pPr>
            <w:r w:rsidDel="00000000" w:rsidR="00000000" w:rsidRPr="00000000">
              <w:rPr>
                <w:sz w:val="18"/>
                <w:szCs w:val="18"/>
                <w:rtl w:val="0"/>
              </w:rPr>
              <w:t xml:space="preserve">Video de la API y el tablero funcionando con datos reales, y una sesión de validación con un cliente piloto o experto, con registro de comentarios y cambios derivados.</w:t>
            </w:r>
            <w:r w:rsidDel="00000000" w:rsidR="00000000" w:rsidRPr="00000000">
              <w:rPr>
                <w:rtl w:val="0"/>
              </w:rPr>
            </w:r>
          </w:p>
        </w:tc>
      </w:tr>
    </w:tbl>
    <w:p w:rsidR="00000000" w:rsidDel="00000000" w:rsidP="00000000" w:rsidRDefault="00000000" w:rsidRPr="00000000" w14:paraId="00000043">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3.3 Previsto</w:t>
      </w:r>
      <w:r w:rsidDel="00000000" w:rsidR="00000000" w:rsidRPr="00000000">
        <w:rPr>
          <w:rtl w:val="0"/>
        </w:rPr>
      </w:r>
    </w:p>
    <w:tbl>
      <w:tblPr>
        <w:tblStyle w:val="Table5"/>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872"/>
        <w:tblGridChange w:id="0">
          <w:tblGrid>
            <w:gridCol w:w="2100"/>
            <w:gridCol w:w="7872"/>
          </w:tblGrid>
        </w:tblGridChange>
      </w:tblGrid>
      <w:tr>
        <w:trPr>
          <w:cantSplit w:val="1"/>
          <w:tblHeader w:val="1"/>
        </w:trPr>
        <w:tc>
          <w:tcPr>
            <w:tcBorders>
              <w:top w:color="eca840" w:space="0" w:sz="4" w:val="single"/>
              <w:left w:color="eca840" w:space="0" w:sz="4" w:val="single"/>
              <w:bottom w:color="eca840" w:space="0" w:sz="4" w:val="single"/>
              <w:right w:color="eca840" w:space="0" w:sz="4" w:val="single"/>
            </w:tcBorders>
            <w:shd w:fill="eca840" w:val="clear"/>
            <w:tcMar>
              <w:top w:w="80.0" w:type="dxa"/>
              <w:left w:w="110.0" w:type="dxa"/>
              <w:bottom w:w="80.0" w:type="dxa"/>
              <w:right w:w="110.0" w:type="dxa"/>
            </w:tcMar>
            <w:vAlign w:val="center"/>
          </w:tcPr>
          <w:p w:rsidR="00000000" w:rsidDel="00000000" w:rsidP="00000000" w:rsidRDefault="00000000" w:rsidRPr="00000000" w14:paraId="00000044">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Componente</w:t>
            </w:r>
            <w:r w:rsidDel="00000000" w:rsidR="00000000" w:rsidRPr="00000000">
              <w:rPr>
                <w:rtl w:val="0"/>
              </w:rPr>
            </w:r>
          </w:p>
        </w:tc>
        <w:tc>
          <w:tcPr>
            <w:tcBorders>
              <w:top w:color="eca840" w:space="0" w:sz="4" w:val="single"/>
              <w:left w:color="eca840" w:space="0" w:sz="4" w:val="single"/>
              <w:bottom w:color="eca840" w:space="0" w:sz="4" w:val="single"/>
              <w:right w:color="eca840" w:space="0" w:sz="4" w:val="single"/>
            </w:tcBorders>
            <w:shd w:fill="eca840" w:val="clear"/>
            <w:tcMar>
              <w:top w:w="80.0" w:type="dxa"/>
              <w:left w:w="110.0" w:type="dxa"/>
              <w:bottom w:w="80.0" w:type="dxa"/>
              <w:right w:w="110.0" w:type="dxa"/>
            </w:tcMar>
            <w:vAlign w:val="center"/>
          </w:tcPr>
          <w:p w:rsidR="00000000" w:rsidDel="00000000" w:rsidP="00000000" w:rsidRDefault="00000000" w:rsidRPr="00000000" w14:paraId="00000045">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Qué falta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6">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Accesibilidad territorial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7">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Cálculo de tiempos de viaje por red vial (OpenStreetMap) y transporte público (GTFS), y cobertura poblacional por comuna. Los insumos ya existen: oferta de urgencia, población, vulnerabilidad y cartografía.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8">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Hospitalización psiquiátrica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9">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Análisis de factores asociados a la duración de estadía (sexo, previsión y pertenencia al SNSS) y su presentación en el tablero.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A">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Intervalos de predicción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B">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Revisar la calibración y reevaluar los candidatos del benchmark. El informe de holdout indica que LightGBM con intervalos conformes fue 1,2 % mejor en comunas.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C">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Demostración y validación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4D">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Video de la API y el tablero funcionando con datos reales, y una sesión de validación con un cliente piloto o experto, con registro de comentarios y cambios derivados.</w:t>
            </w:r>
            <w:r w:rsidDel="00000000" w:rsidR="00000000" w:rsidRPr="00000000">
              <w:rPr>
                <w:rtl w:val="0"/>
              </w:rPr>
            </w:r>
          </w:p>
        </w:tc>
      </w:tr>
    </w:tbl>
    <w:p w:rsidR="00000000" w:rsidDel="00000000" w:rsidP="00000000" w:rsidRDefault="00000000" w:rsidRPr="00000000" w14:paraId="0000004E">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4. Lectura de los resultados del modelo</w:t>
      </w:r>
      <w:r w:rsidDel="00000000" w:rsidR="00000000" w:rsidRPr="00000000">
        <w:rPr>
          <w:rtl w:val="0"/>
        </w:rPr>
      </w:r>
    </w:p>
    <w:p w:rsidR="00000000" w:rsidDel="00000000" w:rsidP="00000000" w:rsidRDefault="00000000" w:rsidRPr="00000000" w14:paraId="0000004F">
      <w:pPr>
        <w:keepNext w:val="0"/>
        <w:keepLines w:val="0"/>
        <w:spacing w:after="120" w:before="0" w:line="276" w:lineRule="auto"/>
        <w:jc w:val="left"/>
        <w:rPr/>
      </w:pPr>
      <w:r w:rsidDel="00000000" w:rsidR="00000000" w:rsidRPr="00000000">
        <w:rPr>
          <w:rFonts w:ascii="Arial" w:cs="Arial" w:eastAsia="Arial" w:hAnsi="Arial"/>
          <w:b w:val="1"/>
          <w:bCs w:val="1"/>
          <w:i w:val="0"/>
          <w:iCs w:val="0"/>
          <w:color w:val="043f57"/>
          <w:sz w:val="20"/>
          <w:szCs w:val="20"/>
          <w:rtl w:val="0"/>
        </w:rPr>
        <w:t xml:space="preserve">Precisión del pronóstico puntual (figura 1).</w:t>
      </w:r>
      <w:r w:rsidDel="00000000" w:rsidR="00000000" w:rsidRPr="00000000">
        <w:rPr>
          <w:rFonts w:ascii="Arial" w:cs="Arial" w:eastAsia="Arial" w:hAnsi="Arial"/>
          <w:b w:val="0"/>
          <w:bCs w:val="0"/>
          <w:i w:val="0"/>
          <w:iCs w:val="0"/>
          <w:color w:val="043f57"/>
          <w:sz w:val="20"/>
          <w:szCs w:val="20"/>
          <w:rtl w:val="0"/>
        </w:rPr>
        <w:t xml:space="preserve"> En ambos períodos y en ambos niveles el modelo seleccionado comete menos error que el baseline estacional. La ventaja se mantuvo en 2026, un período que no participó en la selección. En la región, la reducción de error frente al baseline fue de 24,3 % en el backtest y 23,5 % en el holdout, y en comunas se mantuvo en un nivel similar.</w:t>
      </w:r>
      <w:r w:rsidDel="00000000" w:rsidR="00000000" w:rsidRPr="00000000">
        <w:rPr>
          <w:rtl w:val="0"/>
        </w:rPr>
      </w:r>
    </w:p>
    <w:p w:rsidR="00000000" w:rsidDel="00000000" w:rsidP="00000000" w:rsidRDefault="00000000" w:rsidRPr="00000000" w14:paraId="00000050">
      <w:pPr>
        <w:keepNext w:val="0"/>
        <w:keepLines w:val="0"/>
        <w:spacing w:after="120" w:before="0" w:line="276" w:lineRule="auto"/>
        <w:jc w:val="left"/>
        <w:rPr/>
      </w:pPr>
      <w:r w:rsidDel="00000000" w:rsidR="00000000" w:rsidRPr="00000000">
        <w:rPr>
          <w:rFonts w:ascii="Arial" w:cs="Arial" w:eastAsia="Arial" w:hAnsi="Arial"/>
          <w:b w:val="1"/>
          <w:bCs w:val="1"/>
          <w:i w:val="0"/>
          <w:iCs w:val="0"/>
          <w:color w:val="043f57"/>
          <w:sz w:val="20"/>
          <w:szCs w:val="20"/>
          <w:rtl w:val="0"/>
        </w:rPr>
        <w:t xml:space="preserve">Intervalos de predicción.</w:t>
      </w:r>
      <w:r w:rsidDel="00000000" w:rsidR="00000000" w:rsidRPr="00000000">
        <w:rPr>
          <w:rFonts w:ascii="Arial" w:cs="Arial" w:eastAsia="Arial" w:hAnsi="Arial"/>
          <w:b w:val="0"/>
          <w:bCs w:val="0"/>
          <w:i w:val="0"/>
          <w:iCs w:val="0"/>
          <w:color w:val="043f57"/>
          <w:sz w:val="20"/>
          <w:szCs w:val="20"/>
          <w:rtl w:val="0"/>
        </w:rPr>
        <w:t xml:space="preserve"> La cobertura del intervalo de 80 % bajó de 0,88 a 0,70 en la región y de 0,81 a 0,77 en comunas. En 2026 los intervalos quedaron demasiado estrechos, por lo que hoy conviene leerlos como una referencia orientativa.</w:t>
      </w:r>
      <w:r w:rsidDel="00000000" w:rsidR="00000000" w:rsidRPr="00000000">
        <w:rPr>
          <w:rtl w:val="0"/>
        </w:rPr>
      </w:r>
    </w:p>
    <w:p w:rsidR="00000000" w:rsidDel="00000000" w:rsidP="00000000" w:rsidRDefault="00000000" w:rsidRPr="00000000" w14:paraId="00000051">
      <w:pPr>
        <w:keepNext w:val="1"/>
        <w:spacing w:after="60" w:before="60" w:lineRule="auto"/>
        <w:rPr/>
      </w:pPr>
      <w:r w:rsidDel="00000000" w:rsidR="00000000" w:rsidRPr="00000000">
        <w:rPr/>
        <w:drawing>
          <wp:inline distB="0" distT="0" distL="0" distR="0">
            <wp:extent cx="6191250" cy="2781300"/>
            <wp:effectExtent b="0" l="0" r="0" t="0"/>
            <wp:docPr descr="Gráfico de barras. Izquierda: error MASE del modelo seleccionado y del baseline estacional en región y comunas, 2021 a 2025 y 2026. Derecha: cobertura observada del intervalo de 80 por ciento frente al nivel nominal." id="4" name="image2.png"/>
            <a:graphic>
              <a:graphicData uri="http://schemas.openxmlformats.org/drawingml/2006/picture">
                <pic:pic>
                  <pic:nvPicPr>
                    <pic:cNvPr descr="Gráfico de barras. Izquierda: error MASE del modelo seleccionado y del baseline estacional en región y comunas, 2021 a 2025 y 2026. Derecha: cobertura observada del intervalo de 80 por ciento frente al nivel nominal." id="0" name="image2.png"/>
                    <pic:cNvPicPr preferRelativeResize="0"/>
                  </pic:nvPicPr>
                  <pic:blipFill>
                    <a:blip r:embed="rId8"/>
                    <a:srcRect b="0" l="0" r="0" t="0"/>
                    <a:stretch>
                      <a:fillRect/>
                    </a:stretch>
                  </pic:blipFill>
                  <pic:spPr>
                    <a:xfrm>
                      <a:off x="0" y="0"/>
                      <a:ext cx="61912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spacing w:after="160" w:before="0" w:line="276" w:lineRule="auto"/>
        <w:jc w:val="left"/>
        <w:rPr/>
      </w:pPr>
      <w:r w:rsidDel="00000000" w:rsidR="00000000" w:rsidRPr="00000000">
        <w:rPr>
          <w:rFonts w:ascii="Arial" w:cs="Arial" w:eastAsia="Arial" w:hAnsi="Arial"/>
          <w:b w:val="0"/>
          <w:bCs w:val="0"/>
          <w:i w:val="0"/>
          <w:iCs w:val="0"/>
          <w:color w:val="2b5374"/>
          <w:sz w:val="16"/>
          <w:szCs w:val="16"/>
          <w:rtl w:val="0"/>
        </w:rPr>
        <w:t xml:space="preserve">Figura 1. Error del modelo seleccionado frente al baseline estacional y cobertura de sus intervalos de 80 % (backtest 2021 a 2025 y holdout 2026). MASE menor que 1 indica un error menor que el de la referencia.</w:t>
      </w:r>
      <w:r w:rsidDel="00000000" w:rsidR="00000000" w:rsidRPr="00000000">
        <w:rPr>
          <w:rtl w:val="0"/>
        </w:rPr>
      </w:r>
    </w:p>
    <w:p w:rsidR="00000000" w:rsidDel="00000000" w:rsidP="00000000" w:rsidRDefault="00000000" w:rsidRPr="00000000" w14:paraId="00000053">
      <w:pPr>
        <w:keepNext w:val="0"/>
        <w:keepLines w:val="0"/>
        <w:spacing w:after="120" w:before="0" w:line="276" w:lineRule="auto"/>
        <w:jc w:val="left"/>
        <w:rPr/>
      </w:pPr>
      <w:r w:rsidDel="00000000" w:rsidR="00000000" w:rsidRPr="00000000">
        <w:rPr>
          <w:rFonts w:ascii="Arial" w:cs="Arial" w:eastAsia="Arial" w:hAnsi="Arial"/>
          <w:b w:val="1"/>
          <w:bCs w:val="1"/>
          <w:i w:val="0"/>
          <w:iCs w:val="0"/>
          <w:color w:val="043f57"/>
          <w:sz w:val="20"/>
          <w:szCs w:val="20"/>
          <w:rtl w:val="0"/>
        </w:rPr>
        <w:t xml:space="preserve">Límites de la evidencia.</w:t>
      </w:r>
      <w:r w:rsidDel="00000000" w:rsidR="00000000" w:rsidRPr="00000000">
        <w:rPr>
          <w:rFonts w:ascii="Arial" w:cs="Arial" w:eastAsia="Arial" w:hAnsi="Arial"/>
          <w:b w:val="0"/>
          <w:bCs w:val="0"/>
          <w:i w:val="0"/>
          <w:iCs w:val="0"/>
          <w:color w:val="043f57"/>
          <w:sz w:val="20"/>
          <w:szCs w:val="20"/>
          <w:rtl w:val="0"/>
        </w:rPr>
        <w:t xml:space="preserve"> El holdout cubre 35 semanas de un solo año, sin un ciclo estacional completo. La fuente del año en curso es mutable, porque el DEIS la sobrescribe sin versionarla, y el resultado vale para el archivo con fecha máxima 2 de octubre de 2026. La variable pronosticada son atenciones y no personas únicas, y refleja el uso y la oferta de la red más que la prevalencia. La comuna sin historia de entrenamiento, Vitacura, se muestra como «sin pronóstico».</w:t>
      </w:r>
      <w:r w:rsidDel="00000000" w:rsidR="00000000" w:rsidRPr="00000000">
        <w:rPr>
          <w:rtl w:val="0"/>
        </w:rPr>
      </w:r>
    </w:p>
    <w:p w:rsidR="00000000" w:rsidDel="00000000" w:rsidP="00000000" w:rsidRDefault="00000000" w:rsidRPr="00000000" w14:paraId="00000054">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5. Alcance</w:t>
      </w:r>
      <w:r w:rsidDel="00000000" w:rsidR="00000000" w:rsidRPr="00000000">
        <w:rPr>
          <w:rtl w:val="0"/>
        </w:rPr>
      </w:r>
    </w:p>
    <w:p w:rsidR="00000000" w:rsidDel="00000000" w:rsidP="00000000" w:rsidRDefault="00000000" w:rsidRPr="00000000" w14:paraId="00000055">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Dentro del alcance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Región Metropolitana.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Los tres módulos analíticos (demanda, accesibilidad y hospitalización) integrados en una plataforma.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Datos públicos agregados o disociados, sin tratamiento de datos personales identificables.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Relación entre Urgencias y Egresos tratada solo a nivel territorial.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Indicadores oficiales de salud mental por sexo como contexto interpretativo, sin cruce automático con las fuentes DEIS.</w:t>
      </w:r>
    </w:p>
    <w:p w:rsidR="00000000" w:rsidDel="00000000" w:rsidP="00000000" w:rsidRDefault="00000000" w:rsidRPr="00000000" w14:paraId="0000005B">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Fuera del alcance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Gestión o visualización de cupos hospitalarios y camas en tiempo real.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Identificación o vinculación de pacientes individuales.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Diagnóstico, priorización clínica o apoyo a decisiones clínicas individuales.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Despliegue en infraestructura productiva.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Otras regiones y el sector privado de salud.</w:t>
      </w:r>
    </w:p>
    <w:p w:rsidR="00000000" w:rsidDel="00000000" w:rsidP="00000000" w:rsidRDefault="00000000" w:rsidRPr="00000000" w14:paraId="00000061">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6. Usuarios y validación</w:t>
      </w:r>
      <w:r w:rsidDel="00000000" w:rsidR="00000000" w:rsidRPr="00000000">
        <w:rPr>
          <w:rtl w:val="0"/>
        </w:rPr>
      </w:r>
    </w:p>
    <w:tbl>
      <w:tblPr>
        <w:tblStyle w:val="Table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72"/>
        <w:gridCol w:w="3400"/>
        <w:tblGridChange w:id="0">
          <w:tblGrid>
            <w:gridCol w:w="2000"/>
            <w:gridCol w:w="4572"/>
            <w:gridCol w:w="3400"/>
          </w:tblGrid>
        </w:tblGridChange>
      </w:tblGrid>
      <w:tr>
        <w:trPr>
          <w:cantSplit w:val="1"/>
          <w:tblHeader w:val="1"/>
        </w:trPr>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62">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Grupo</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63">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Quiénes</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64">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Estado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5">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Usuarios potenciales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6">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Gestor de red o planificador sanitario, referente comunal de salud mental, analista o epidemiólogo de servicio y jefatura de urgencia.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7">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Potenciales. Perfiles definidos en los requisitos, sin personas reales identificadas.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8">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Experta consultada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9">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Belén Guzmán, psicóloga, cuya entrevista originó la definición del problema.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A">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Confirmada. No es clienta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B">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Cliente piloto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C">
            <w:pPr>
              <w:keepNext w:val="0"/>
              <w:spacing w:after="0" w:before="0" w:line="252.00000000000003" w:lineRule="auto"/>
              <w:jc w:val="left"/>
              <w:rPr/>
            </w:pPr>
            <w:r w:rsidDel="00000000" w:rsidR="00000000" w:rsidRPr="00000000">
              <w:rPr>
                <w:sz w:val="18"/>
                <w:szCs w:val="18"/>
                <w:rtl w:val="0"/>
              </w:rPr>
              <w:t xml:space="preserve">Felipe Echeverría: psiquiatra con experiencia en el sistema público y derivación de pacientes a hospitalización por emergencias de salud mental.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D">
            <w:pPr>
              <w:keepNext w:val="0"/>
              <w:spacing w:after="0" w:before="0" w:line="252.00000000000003" w:lineRule="auto"/>
              <w:jc w:val="left"/>
              <w:rPr>
                <w:b w:val="1"/>
                <w:bCs w:val="1"/>
                <w:sz w:val="18"/>
                <w:szCs w:val="18"/>
              </w:rPr>
            </w:pPr>
            <w:r w:rsidDel="00000000" w:rsidR="00000000" w:rsidRPr="00000000">
              <w:rPr>
                <w:b w:val="1"/>
                <w:bCs w:val="1"/>
                <w:sz w:val="18"/>
                <w:szCs w:val="18"/>
                <w:rtl w:val="0"/>
              </w:rPr>
              <w:t xml:space="preserve">Confirmado como cliente del proyecto.</w:t>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E">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Instituciones relacionadas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6F">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SEREMI de Salud RM, Servicios de Salud Metropolitanos, hospitales, municipios y corporaciones de salud.</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0">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Potenciales. Ninguna tiene relación establecida con 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1">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Beneficiarios indirectos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2">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Población de la Región Metropolitana que usa la red pública de urgencia en salud mental, en la medida en que una mejor planificación mejore la asignación de recursos.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3">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El proyecto no mide este beneficio.</w:t>
            </w:r>
            <w:r w:rsidDel="00000000" w:rsidR="00000000" w:rsidRPr="00000000">
              <w:rPr>
                <w:rtl w:val="0"/>
              </w:rPr>
            </w:r>
          </w:p>
        </w:tc>
      </w:tr>
    </w:tbl>
    <w:p w:rsidR="00000000" w:rsidDel="00000000" w:rsidP="00000000" w:rsidRDefault="00000000" w:rsidRPr="00000000" w14:paraId="00000074">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7. Equipo</w:t>
      </w:r>
      <w:r w:rsidDel="00000000" w:rsidR="00000000" w:rsidRPr="00000000">
        <w:rPr>
          <w:rtl w:val="0"/>
        </w:rPr>
      </w:r>
    </w:p>
    <w:tbl>
      <w:tblPr>
        <w:tblStyle w:val="Table7"/>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5272"/>
        <w:tblGridChange w:id="0">
          <w:tblGrid>
            <w:gridCol w:w="2200"/>
            <w:gridCol w:w="2500"/>
            <w:gridCol w:w="5272"/>
          </w:tblGrid>
        </w:tblGridChange>
      </w:tblGrid>
      <w:tr>
        <w:trPr>
          <w:cantSplit w:val="1"/>
          <w:tblHeader w:val="1"/>
        </w:trPr>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75">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Integrante</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76">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Rol</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77">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Responsabilidades principales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8">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Camila Aroca Muñoz</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9">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Jefa de Proyecto y Scrum Master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A">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Gestión ágil en Kanban, coordinación con expertos y cliente piloto, y documentación del proyecto.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B">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Cristopher Rojas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C">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Product Owner y Data Scientist</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D">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Priorización del backlog; desarrollo, entrenamiento y evaluación de los modelos predictivos de demanda.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E">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Felipe Rivera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7F">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Data Engineer</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0">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Extracción, limpieza y auditoría de datos DEIS, INE y MDS; modelo y gestión de la base de datos.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1">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Catalina Rodríguez</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2">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Full Stack y Geoespacial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3">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Plataforma web, integración con la API y análisis espacial.</w:t>
            </w:r>
            <w:r w:rsidDel="00000000" w:rsidR="00000000" w:rsidRPr="00000000">
              <w:rPr>
                <w:rtl w:val="0"/>
              </w:rPr>
            </w:r>
          </w:p>
        </w:tc>
      </w:tr>
    </w:tbl>
    <w:p w:rsidR="00000000" w:rsidDel="00000000" w:rsidP="00000000" w:rsidRDefault="00000000" w:rsidRPr="00000000" w14:paraId="00000084">
      <w:pPr>
        <w:pStyle w:val="Heading1"/>
        <w:keepNext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8. Calendario y plan hasta la entrega</w:t>
      </w:r>
      <w:r w:rsidDel="00000000" w:rsidR="00000000" w:rsidRPr="00000000">
        <w:rPr>
          <w:rtl w:val="0"/>
        </w:rPr>
      </w:r>
    </w:p>
    <w:tbl>
      <w:tblPr>
        <w:tblStyle w:val="Table8"/>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700"/>
        <w:gridCol w:w="3772"/>
        <w:tblGridChange w:id="0">
          <w:tblGrid>
            <w:gridCol w:w="3500"/>
            <w:gridCol w:w="2700"/>
            <w:gridCol w:w="3772"/>
          </w:tblGrid>
        </w:tblGridChange>
      </w:tblGrid>
      <w:tr>
        <w:trPr>
          <w:cantSplit w:val="1"/>
          <w:tblHeader w:val="1"/>
        </w:trPr>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85">
            <w:pPr>
              <w:keepNext w:val="1"/>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Hito</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86">
            <w:pPr>
              <w:keepNext w:val="1"/>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Fecha</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87">
            <w:pPr>
              <w:keepNext w:val="1"/>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Estado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8">
            <w:pPr>
              <w:keepNext w:val="1"/>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Fase 1, presentación del proyecto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9">
            <w:pPr>
              <w:keepNext w:val="1"/>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3 de septiembre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80bda8" w:val="clear"/>
            <w:tcMar>
              <w:top w:w="70.0" w:type="dxa"/>
              <w:left w:w="110.0" w:type="dxa"/>
              <w:bottom w:w="70.0" w:type="dxa"/>
              <w:right w:w="110.0" w:type="dxa"/>
            </w:tcMar>
            <w:vAlign w:val="top"/>
          </w:tcPr>
          <w:p w:rsidR="00000000" w:rsidDel="00000000" w:rsidP="00000000" w:rsidRDefault="00000000" w:rsidRPr="00000000" w14:paraId="0000008A">
            <w:pPr>
              <w:keepNext w:val="1"/>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Realizada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B">
            <w:pPr>
              <w:keepNext w:val="1"/>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Fase 2.1, avance y documentación (Entrega 2)</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C">
            <w:pPr>
              <w:keepNext w:val="1"/>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15 de octubre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2a74a5" w:val="clear"/>
            <w:tcMar>
              <w:top w:w="70.0" w:type="dxa"/>
              <w:left w:w="110.0" w:type="dxa"/>
              <w:bottom w:w="70.0" w:type="dxa"/>
              <w:right w:w="110.0" w:type="dxa"/>
            </w:tcMar>
            <w:vAlign w:val="top"/>
          </w:tcPr>
          <w:p w:rsidR="00000000" w:rsidDel="00000000" w:rsidP="00000000" w:rsidRDefault="00000000" w:rsidRPr="00000000" w14:paraId="0000008D">
            <w:pPr>
              <w:keepNext w:val="1"/>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Entrega vigente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E">
            <w:pPr>
              <w:keepNext w:val="1"/>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Fase 2.3, presentación y entrega final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8F">
            <w:pPr>
              <w:keepNext w:val="1"/>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26 de noviembre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0">
            <w:pPr>
              <w:keepNext w:val="1"/>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Prevista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1">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Fase 3, presentación ante comisión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92">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Entre el 30 de noviembre y el 4 de diciembre de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shd w:fill="eca840" w:val="clear"/>
            <w:tcMar>
              <w:top w:w="70.0" w:type="dxa"/>
              <w:left w:w="110.0" w:type="dxa"/>
              <w:bottom w:w="70.0" w:type="dxa"/>
              <w:right w:w="110.0" w:type="dxa"/>
            </w:tcMar>
            <w:vAlign w:val="top"/>
          </w:tcPr>
          <w:p w:rsidR="00000000" w:rsidDel="00000000" w:rsidP="00000000" w:rsidRDefault="00000000" w:rsidRPr="00000000" w14:paraId="00000093">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Rango por confirmar</w:t>
            </w:r>
            <w:r w:rsidDel="00000000" w:rsidR="00000000" w:rsidRPr="00000000">
              <w:rPr>
                <w:rtl w:val="0"/>
              </w:rPr>
            </w:r>
          </w:p>
        </w:tc>
      </w:tr>
    </w:tbl>
    <w:p w:rsidR="00000000" w:rsidDel="00000000" w:rsidP="00000000" w:rsidRDefault="00000000" w:rsidRPr="00000000" w14:paraId="00000094">
      <w:pPr>
        <w:spacing w:after="100" w:before="0" w:lineRule="auto"/>
        <w:rPr/>
      </w:pPr>
      <w:r w:rsidDel="00000000" w:rsidR="00000000" w:rsidRPr="00000000">
        <w:rPr>
          <w:rtl w:val="0"/>
        </w:rPr>
      </w:r>
    </w:p>
    <w:p w:rsidR="00000000" w:rsidDel="00000000" w:rsidP="00000000" w:rsidRDefault="00000000" w:rsidRPr="00000000" w14:paraId="00000095">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Plan hasta el 15 de octubre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Registrar en video una demostración integrada de la API y el tablero con datos reales.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Alinear la documentación de requisitos y arquitectura con el estado actual del código.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Confirmar al cliente piloto o experto que validará la muestra funcional y fijar la fecha de la sesión.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Preparar la presentación de la Fase 2.1.</w:t>
      </w:r>
    </w:p>
    <w:p w:rsidR="00000000" w:rsidDel="00000000" w:rsidP="00000000" w:rsidRDefault="00000000" w:rsidRPr="00000000" w14:paraId="0000009A">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Plan hasta el 26 de noviembre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Implementar la capa mínima de accesibilidad territorial.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Completar el análisis de hospitalización con factores asociados y mostrarlo en el tablero.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Revisar la calibración de los intervalos y reevaluar los candidatos del benchmark.</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Documentar la validación con un usuario o cliente piloto.</w:t>
      </w:r>
    </w:p>
    <w:p w:rsidR="00000000" w:rsidDel="00000000" w:rsidP="00000000" w:rsidRDefault="00000000" w:rsidRPr="00000000" w14:paraId="0000009F">
      <w:pPr>
        <w:pStyle w:val="Heading1"/>
        <w:keepNext w:val="1"/>
        <w:pageBreakBefore w:val="1"/>
        <w:pBdr>
          <w:bottom w:color="80bda8" w:space="4" w:sz="12" w:val="single"/>
        </w:pBdr>
        <w:spacing w:after="140" w:before="0" w:lineRule="auto"/>
        <w:rPr/>
      </w:pPr>
      <w:r w:rsidDel="00000000" w:rsidR="00000000" w:rsidRPr="00000000">
        <w:rPr>
          <w:rFonts w:ascii="Arial" w:cs="Arial" w:eastAsia="Arial" w:hAnsi="Arial"/>
          <w:b w:val="1"/>
          <w:bCs w:val="1"/>
          <w:color w:val="043f57"/>
          <w:sz w:val="30"/>
          <w:szCs w:val="30"/>
          <w:rtl w:val="0"/>
        </w:rPr>
        <w:t xml:space="preserve">9. Riesgos principales</w:t>
      </w:r>
      <w:r w:rsidDel="00000000" w:rsidR="00000000" w:rsidRPr="00000000">
        <w:rPr>
          <w:rtl w:val="0"/>
        </w:rPr>
      </w:r>
    </w:p>
    <w:tbl>
      <w:tblPr>
        <w:tblStyle w:val="Table9"/>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0"/>
        <w:gridCol w:w="950"/>
        <w:gridCol w:w="1500"/>
        <w:gridCol w:w="3572"/>
        <w:gridCol w:w="1800"/>
        <w:tblGridChange w:id="0">
          <w:tblGrid>
            <w:gridCol w:w="2150"/>
            <w:gridCol w:w="950"/>
            <w:gridCol w:w="1500"/>
            <w:gridCol w:w="3572"/>
            <w:gridCol w:w="1800"/>
          </w:tblGrid>
        </w:tblGridChange>
      </w:tblGrid>
      <w:tr>
        <w:trPr>
          <w:cantSplit w:val="1"/>
          <w:tblHeader w:val="1"/>
        </w:trPr>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A0">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Riesgo</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A1">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Impacto</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A2">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Probabilidad</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A3">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Mitigación</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A4">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Responsable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5">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El cliente o validador no se confirma a tiempo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6">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7">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Alta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8">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Derivación a través de la experta consultada, fecha límite interna y validación alternativa con expertos o con la docente.</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9">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Camila Aroca Muñoz</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A">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Alcance amplio para el tiempo restante: faltan accesibilidad y hospitalización</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B">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C">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Alta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D">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Acotar el MVP por componente y documentar qué se recorta si el tiempo no alcanza.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E">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Cristopher Rojas, con el equipo</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AF">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Intervalos de predicción subcubren en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0">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Medio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1">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Observada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2">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Revisar la calibración, reevaluar candidatos y, mientras tanto, presentar los intervalos como referencia orientativa.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3">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Cristopher Rojas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4">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Fuentes públicas mutables, con subregistro y anomalías documentadas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5">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6">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Media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7">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Mantener el registro de procedencia y las validaciones de esquema; documentar las anomalías en lugar de corregirlas en silencio.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8">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Felipe Rivera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9">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Complejidad de la integración geoespacial (isócronas OSM y GTFS)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A">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Medio a alto</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B">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Media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C">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Implementar primero una cobertura territorial simple y reproducible, y tratar las isócronas completas como objetivo incremental.</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BD">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Catalina Rodríguez</w:t>
            </w:r>
            <w:r w:rsidDel="00000000" w:rsidR="00000000" w:rsidRPr="00000000">
              <w:rPr>
                <w:rtl w:val="0"/>
              </w:rPr>
            </w:r>
          </w:p>
        </w:tc>
      </w:tr>
    </w:tbl>
    <w:p w:rsidR="00000000" w:rsidDel="00000000" w:rsidP="00000000" w:rsidRDefault="00000000" w:rsidRPr="00000000" w14:paraId="000000BE">
      <w:pPr>
        <w:pStyle w:val="Heading1"/>
        <w:keepNext w:val="1"/>
        <w:pageBreakBefore w:val="1"/>
        <w:pBdr>
          <w:bottom w:color="80bda8" w:space="4" w:sz="12" w:val="single"/>
        </w:pBdr>
        <w:spacing w:after="140" w:before="320" w:lineRule="auto"/>
        <w:rPr/>
      </w:pPr>
      <w:r w:rsidDel="00000000" w:rsidR="00000000" w:rsidRPr="00000000">
        <w:rPr>
          <w:rFonts w:ascii="Arial" w:cs="Arial" w:eastAsia="Arial" w:hAnsi="Arial"/>
          <w:b w:val="1"/>
          <w:bCs w:val="1"/>
          <w:color w:val="043f57"/>
          <w:sz w:val="30"/>
          <w:szCs w:val="30"/>
          <w:rtl w:val="0"/>
        </w:rPr>
        <w:t xml:space="preserve">Anexo A. Trazabilidad técnica</w:t>
      </w:r>
      <w:r w:rsidDel="00000000" w:rsidR="00000000" w:rsidRPr="00000000">
        <w:rPr>
          <w:rtl w:val="0"/>
        </w:rPr>
      </w:r>
    </w:p>
    <w:p w:rsidR="00000000" w:rsidDel="00000000" w:rsidP="00000000" w:rsidRDefault="00000000" w:rsidRPr="00000000" w14:paraId="000000BF">
      <w:pPr>
        <w:keepNext w:val="0"/>
        <w:keepLines w:val="0"/>
        <w:spacing w:after="120" w:before="0" w:line="276" w:lineRule="auto"/>
        <w:jc w:val="left"/>
        <w:rPr/>
      </w:pPr>
      <w:r w:rsidDel="00000000" w:rsidR="00000000" w:rsidRPr="00000000">
        <w:rPr>
          <w:rFonts w:ascii="Arial" w:cs="Arial" w:eastAsia="Arial" w:hAnsi="Arial"/>
          <w:b w:val="0"/>
          <w:bCs w:val="0"/>
          <w:i w:val="0"/>
          <w:iCs w:val="0"/>
          <w:color w:val="043f57"/>
          <w:sz w:val="20"/>
          <w:szCs w:val="20"/>
          <w:rtl w:val="0"/>
        </w:rPr>
        <w:t xml:space="preserve">Cada afirmación del cuerpo del documento se apoya en archivos del repositorio del proyecto. Las rutas son relativas a su raíz.</w:t>
      </w: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72"/>
        <w:tblGridChange w:id="0">
          <w:tblGrid>
            <w:gridCol w:w="3000"/>
            <w:gridCol w:w="6972"/>
          </w:tblGrid>
        </w:tblGridChange>
      </w:tblGrid>
      <w:tr>
        <w:trPr>
          <w:cantSplit w:val="1"/>
          <w:tblHeader w:val="1"/>
        </w:trPr>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C0">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Afirmación</w:t>
            </w:r>
            <w:r w:rsidDel="00000000" w:rsidR="00000000" w:rsidRPr="00000000">
              <w:rPr>
                <w:rtl w:val="0"/>
              </w:rPr>
            </w:r>
          </w:p>
        </w:tc>
        <w:tc>
          <w:tcPr>
            <w:tcBorders>
              <w:top w:color="043f57" w:space="0" w:sz="4" w:val="single"/>
              <w:left w:color="043f57" w:space="0" w:sz="4" w:val="single"/>
              <w:bottom w:color="043f57" w:space="0" w:sz="4" w:val="single"/>
              <w:right w:color="043f57" w:space="0" w:sz="4" w:val="single"/>
            </w:tcBorders>
            <w:shd w:fill="043f57" w:val="clear"/>
            <w:tcMar>
              <w:top w:w="80.0" w:type="dxa"/>
              <w:left w:w="110.0" w:type="dxa"/>
              <w:bottom w:w="80.0" w:type="dxa"/>
              <w:right w:w="110.0" w:type="dxa"/>
            </w:tcMar>
            <w:vAlign w:val="center"/>
          </w:tcPr>
          <w:p w:rsidR="00000000" w:rsidDel="00000000" w:rsidP="00000000" w:rsidRDefault="00000000" w:rsidRPr="00000000" w14:paraId="000000C1">
            <w:pPr>
              <w:keepNext w:val="0"/>
              <w:spacing w:after="0" w:before="0" w:line="252.00000000000003" w:lineRule="auto"/>
              <w:jc w:val="left"/>
              <w:rPr/>
            </w:pPr>
            <w:r w:rsidDel="00000000" w:rsidR="00000000" w:rsidRPr="00000000">
              <w:rPr>
                <w:rFonts w:ascii="Arial" w:cs="Arial" w:eastAsia="Arial" w:hAnsi="Arial"/>
                <w:b w:val="1"/>
                <w:bCs w:val="1"/>
                <w:i w:val="0"/>
                <w:iCs w:val="0"/>
                <w:color w:val="ffffff"/>
                <w:sz w:val="18"/>
                <w:szCs w:val="18"/>
                <w:rtl w:val="0"/>
              </w:rPr>
              <w:t xml:space="preserve">Evidencia</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2">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Pipeline de 31 etapas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3">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scripts/run_pipeline.py (lista PIPELINE_ORDER).</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4">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Corrida certificada</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5">
            <w:pPr>
              <w:keepNext w:val="0"/>
              <w:spacing w:after="6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reports/validation/apt_certification_20261008T002147Z/</w:t>
            </w:r>
            <w:r w:rsidDel="00000000" w:rsidR="00000000" w:rsidRPr="00000000">
              <w:rPr>
                <w:rtl w:val="0"/>
              </w:rPr>
            </w:r>
          </w:p>
          <w:p w:rsidR="00000000" w:rsidDel="00000000" w:rsidP="00000000" w:rsidRDefault="00000000" w:rsidRPr="00000000" w14:paraId="000000C6">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Contiene preflight, metadatos de la corrida, decisiones por etapa, inventario de salidas (77 válidas, 0 inválidas), huellas SHA256, comparación del procesado de Urgencias 2026 y versiones de dependencias.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7">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Backtest 2021 a 2025</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8">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reports/modeling/benchmark_demanda_sm.md, benchmark_demanda_sm_resumen.csv y benchmark_demanda_sm_seleccion.json. Se reproduce con python -m scripts.run_demand_benchmark (semilla 42).</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9">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Holdout 2026</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A">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reports/modeling/holdout_demanda_sm.md y holdout_demanda_sm_resumen.csv. Se reproduce con python -m scripts.evaluate_holdout_demanda_sm.</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B">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Modelos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C">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src/models/ (baseline, linear_glm, gradient_boosting, hybrid, hierarchy, conformal, backtesting, holdout, registry).</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D">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API</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E">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src/api/ (routes.py, service.py, schemas.py) y tests/test_api.py.</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CF">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Tablero web</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0">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frontend/ (React, TypeScript, Vite, Tailwind, Recharts y React Leaflet) y su README.</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1">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Egresos F00 a F99</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2">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reports/hospitalization/eda_egresos_f00_f99.md.</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3">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Modelo de datos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4">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db/schema_postgresql.sql y docs/07-diagramas/.</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5">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Oferta de urgencia, 174 establecimientos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6">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PROJECT_CONTEXT.md y reports/dictionary/diccionario_dim_oferta_urgencia_rm.md.</w:t>
            </w:r>
            <w:r w:rsidDel="00000000" w:rsidR="00000000" w:rsidRPr="00000000">
              <w:rPr>
                <w:rtl w:val="0"/>
              </w:rPr>
            </w:r>
          </w:p>
        </w:tc>
      </w:tr>
      <w:tr>
        <w:trPr>
          <w:cantSplit w:val="1"/>
          <w:tblHeader w:val="0"/>
        </w:trPr>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7">
            <w:pPr>
              <w:keepNext w:val="0"/>
              <w:spacing w:after="0" w:before="0" w:line="252.00000000000003" w:lineRule="auto"/>
              <w:jc w:val="left"/>
              <w:rPr/>
            </w:pPr>
            <w:r w:rsidDel="00000000" w:rsidR="00000000" w:rsidRPr="00000000">
              <w:rPr>
                <w:rFonts w:ascii="Arial" w:cs="Arial" w:eastAsia="Arial" w:hAnsi="Arial"/>
                <w:b w:val="1"/>
                <w:bCs w:val="1"/>
                <w:i w:val="0"/>
                <w:iCs w:val="0"/>
                <w:color w:val="043f57"/>
                <w:sz w:val="18"/>
                <w:szCs w:val="18"/>
                <w:rtl w:val="0"/>
              </w:rPr>
              <w:t xml:space="preserve">Pruebas automatizadas</w:t>
            </w:r>
            <w:r w:rsidDel="00000000" w:rsidR="00000000" w:rsidRPr="00000000">
              <w:rPr>
                <w:rtl w:val="0"/>
              </w:rPr>
            </w:r>
          </w:p>
        </w:tc>
        <w:tc>
          <w:tcPr>
            <w:tcBorders>
              <w:top w:color="80bda8" w:space="0" w:sz="4" w:val="single"/>
              <w:left w:color="80bda8" w:space="0" w:sz="4" w:val="single"/>
              <w:bottom w:color="80bda8" w:space="0" w:sz="4" w:val="single"/>
              <w:right w:color="80bda8" w:space="0" w:sz="4" w:val="single"/>
            </w:tcBorders>
            <w:tcMar>
              <w:top w:w="70.0" w:type="dxa"/>
              <w:left w:w="110.0" w:type="dxa"/>
              <w:bottom w:w="70.0" w:type="dxa"/>
              <w:right w:w="110.0" w:type="dxa"/>
            </w:tcMar>
            <w:vAlign w:val="top"/>
          </w:tcPr>
          <w:p w:rsidR="00000000" w:rsidDel="00000000" w:rsidP="00000000" w:rsidRDefault="00000000" w:rsidRPr="00000000" w14:paraId="000000D8">
            <w:pPr>
              <w:keepNext w:val="0"/>
              <w:spacing w:after="0" w:before="0" w:line="252.00000000000003" w:lineRule="auto"/>
              <w:jc w:val="left"/>
              <w:rPr/>
            </w:pPr>
            <w:r w:rsidDel="00000000" w:rsidR="00000000" w:rsidRPr="00000000">
              <w:rPr>
                <w:rFonts w:ascii="Arial" w:cs="Arial" w:eastAsia="Arial" w:hAnsi="Arial"/>
                <w:b w:val="0"/>
                <w:bCs w:val="0"/>
                <w:i w:val="0"/>
                <w:iCs w:val="0"/>
                <w:color w:val="043f57"/>
                <w:sz w:val="18"/>
                <w:szCs w:val="18"/>
                <w:rtl w:val="0"/>
              </w:rPr>
              <w:t xml:space="preserve">tests/ (373 funciones en 31 archivos). El documento no afirma resultados de ejecución.</w:t>
            </w:r>
            <w:r w:rsidDel="00000000" w:rsidR="00000000" w:rsidRPr="00000000">
              <w:rPr>
                <w:rtl w:val="0"/>
              </w:rPr>
            </w:r>
          </w:p>
        </w:tc>
      </w:tr>
    </w:tbl>
    <w:p w:rsidR="00000000" w:rsidDel="00000000" w:rsidP="00000000" w:rsidRDefault="00000000" w:rsidRPr="00000000" w14:paraId="000000D9">
      <w:pPr>
        <w:pStyle w:val="Heading2"/>
        <w:keepNext w:val="1"/>
        <w:spacing w:after="100" w:before="220" w:lineRule="auto"/>
        <w:rPr/>
      </w:pPr>
      <w:r w:rsidDel="00000000" w:rsidR="00000000" w:rsidRPr="00000000">
        <w:rPr>
          <w:rFonts w:ascii="Arial" w:cs="Arial" w:eastAsia="Arial" w:hAnsi="Arial"/>
          <w:b w:val="1"/>
          <w:bCs w:val="1"/>
          <w:color w:val="0a506a"/>
          <w:sz w:val="23"/>
          <w:szCs w:val="23"/>
          <w:rtl w:val="0"/>
        </w:rPr>
        <w:t xml:space="preserve">Observaciones sobre las fuentes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MASE del modelo seleccionado en comunas para 2021 a 2025 es 0,6755 en el informe de benchmark (51 comunas) y 0,6789 en el informe de holdout (50 comunas). El cuerpo usa las cifras del benchmark para ese período y las del holdout para 2026.</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holdout evalúa 50 comunas: excluye la de código 13504, por cobertura incompleta en 2026, y no pronostica Vitacura por falta de historia de entrenamiento.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La reducción de error de 23,5 % en la región y 26,8 % en comunas para 2026 corresponde a la comparación pareada de la sección 6 del informe de holdout. La sección 8 del mismo informe mide la habilidad como razón de MASE contra el baseline del mismo período y entrega 24,3 % (backtest) y 23,5 % (holdout) en la región, y 26,2 % y 28,1 % en comunas.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El informe de holdout registra para el archivo de Urgencias 2026 (SHA256 que comienza con 73f6480f16d2) el estado de procedencia «difiere del registrado»: el archivo en disco no coincide con el último snapshot anotado en el manifiesto.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Arial" w:cs="Arial" w:eastAsia="Arial" w:hAnsi="Arial"/>
          <w:b w:val="0"/>
          <w:bCs w:val="0"/>
          <w:i w:val="0"/>
          <w:iCs w:val="0"/>
          <w:smallCaps w:val="0"/>
          <w:strike w:val="0"/>
          <w:color w:val="043f57"/>
          <w:sz w:val="20"/>
          <w:szCs w:val="20"/>
          <w:u w:val="none"/>
          <w:shd w:fill="auto" w:val="clear"/>
          <w:vertAlign w:val="baseline"/>
          <w:rtl w:val="0"/>
        </w:rPr>
        <w:t xml:space="preserve">En la corrida certificada, 28 etapas se omitieron por tener salidas vigentes y válidas, y se ejecutaron tres: eda_series_demanda_sm, benchmark_demanda_sm y evaluate_holdout_demanda_sm. La corrida usó Python 3.12.6 y se hizo con modificaciones locales aún no confirmadas en el repositorio, registradas en working_diff.patch.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200" w:top="1500" w:left="1134" w:right="1134" w:header="600" w:footer="5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color="80bda8" w:space="6" w:sz="4" w:val="single"/>
      </w:pBdr>
      <w:tabs>
        <w:tab w:val="right" w:leader="none" w:pos="9972"/>
      </w:tabs>
      <w:spacing w:after="0" w:before="0" w:lineRule="auto"/>
      <w:rPr/>
    </w:pPr>
    <w:r w:rsidDel="00000000" w:rsidR="00000000" w:rsidRPr="00000000">
      <w:rPr>
        <w:rFonts w:ascii="Arial" w:cs="Arial" w:eastAsia="Arial" w:hAnsi="Arial"/>
        <w:color w:val="2b5374"/>
        <w:sz w:val="16"/>
        <w:szCs w:val="16"/>
        <w:rtl w:val="0"/>
      </w:rPr>
      <w:t xml:space="preserve">SAAD, Análisis y Anticipación de </w:t>
    </w:r>
    <w:r w:rsidDel="00000000" w:rsidR="00000000" w:rsidRPr="00000000">
      <w:rPr>
        <w:color w:val="2b5374"/>
        <w:sz w:val="16"/>
        <w:szCs w:val="16"/>
        <w:rtl w:val="0"/>
      </w:rPr>
      <w:t xml:space="preserve">Demanda Página</w:t>
    </w:r>
    <w:r w:rsidDel="00000000" w:rsidR="00000000" w:rsidRPr="00000000">
      <w:rPr>
        <w:rFonts w:ascii="Arial" w:cs="Arial" w:eastAsia="Arial" w:hAnsi="Arial"/>
        <w:color w:val="2b5374"/>
        <w:sz w:val="16"/>
        <w:szCs w:val="16"/>
        <w:rtl w:val="0"/>
      </w:rPr>
      <w:t xml:space="preserve"> </w:t>
    </w:r>
    <w:r w:rsidDel="00000000" w:rsidR="00000000" w:rsidRPr="00000000">
      <w:rPr>
        <w:rFonts w:ascii="Arial" w:cs="Arial" w:eastAsia="Arial" w:hAnsi="Arial"/>
        <w:color w:val="2b5374"/>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2b5374"/>
        <w:sz w:val="16"/>
        <w:szCs w:val="16"/>
        <w:rtl w:val="0"/>
      </w:rPr>
      <w:t xml:space="preserve"> de </w:t>
    </w:r>
    <w:r w:rsidDel="00000000" w:rsidR="00000000" w:rsidRPr="00000000">
      <w:rPr>
        <w:rFonts w:ascii="Arial" w:cs="Arial" w:eastAsia="Arial" w:hAnsi="Arial"/>
        <w:color w:val="2b5374"/>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bottom w:color="80bda8" w:space="6" w:sz="8" w:val="single"/>
      </w:pBdr>
      <w:tabs>
        <w:tab w:val="right" w:leader="none" w:pos="9972"/>
      </w:tabs>
      <w:spacing w:after="0" w:before="0" w:lineRule="auto"/>
      <w:rPr/>
    </w:pPr>
    <w:r w:rsidDel="00000000" w:rsidR="00000000" w:rsidRPr="00000000">
      <w:rPr/>
      <w:drawing>
        <wp:inline distB="0" distT="0" distL="0" distR="0">
          <wp:extent cx="952500" cy="314325"/>
          <wp:effectExtent b="0" l="0" r="0" t="0"/>
          <wp:docPr descr="Logo de SAAD, Análisis y Anticipación de Demanda" id="3" name="image1.png"/>
          <a:graphic>
            <a:graphicData uri="http://schemas.openxmlformats.org/drawingml/2006/picture">
              <pic:pic>
                <pic:nvPicPr>
                  <pic:cNvPr descr="Logo de SAAD, Análisis y Anticipación de Demanda" id="0" name="image1.png"/>
                  <pic:cNvPicPr preferRelativeResize="0"/>
                </pic:nvPicPr>
                <pic:blipFill>
                  <a:blip r:embed="rId1"/>
                  <a:srcRect b="0" l="0" r="0" t="0"/>
                  <a:stretch>
                    <a:fillRect/>
                  </a:stretch>
                </pic:blipFill>
                <pic:spPr>
                  <a:xfrm>
                    <a:off x="0" y="0"/>
                    <a:ext cx="952500" cy="314325"/>
                  </a:xfrm>
                  <a:prstGeom prst="rect"/>
                  <a:ln/>
                </pic:spPr>
              </pic:pic>
            </a:graphicData>
          </a:graphic>
        </wp:inline>
      </w:drawing>
    </w:r>
    <w:r w:rsidDel="00000000" w:rsidR="00000000" w:rsidRPr="00000000">
      <w:rPr>
        <w:rFonts w:ascii="Arial" w:cs="Arial" w:eastAsia="Arial" w:hAnsi="Arial"/>
        <w:color w:val="2b5374"/>
        <w:sz w:val="16"/>
        <w:szCs w:val="16"/>
        <w:rtl w:val="0"/>
      </w:rPr>
      <w:t xml:space="preserve">Ficha de producto y proyecto, versión 2.0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Arial" w:cs="Arial" w:eastAsia="Arial" w:hAnsi="Arial"/>
        <w:color w:val="0a506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43f5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43f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a506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43f5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hJhRwhrrtO94w5UuAjrL2fgSQ==">CgMxLjA4AHIhMVpONzgxRW1iRVc1YXd0RzBXTmNjY3UxTGpvZWxIN2RN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2026-10-08T03:03:20.556Z</dcterms:created>
  <dc:creator>Equipo SAAD</dc:creator>
</cp:coreProperties>
</file>

<file path=docProps/custom.xml><?xml version="1.0" encoding="utf-8"?>
<Properties xmlns="http://schemas.openxmlformats.org/officeDocument/2006/custom-properties" xmlns:vt="http://schemas.openxmlformats.org/officeDocument/2006/docPropsVTypes"/>
</file>