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904F9"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5CCD5A18" w14:textId="77777777" w:rsidTr="25FC3610">
        <w:trPr>
          <w:trHeight w:val="2192"/>
        </w:trPr>
        <w:tc>
          <w:tcPr>
            <w:tcW w:w="0" w:type="auto"/>
          </w:tcPr>
          <w:p w14:paraId="2330A2B8"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BDF33A7"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4D062F0C"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38D7BCD8"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0147C185"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477486C8" w14:textId="77777777" w:rsidR="002C4FB7" w:rsidRDefault="002C4FB7" w:rsidP="3D28A338">
      <w:pPr>
        <w:spacing w:after="0" w:line="360" w:lineRule="auto"/>
        <w:jc w:val="both"/>
        <w:rPr>
          <w:b/>
          <w:bCs/>
          <w:sz w:val="24"/>
          <w:szCs w:val="24"/>
        </w:rPr>
      </w:pPr>
    </w:p>
    <w:p w14:paraId="5C638391"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8DA291B" w14:textId="77777777" w:rsidTr="3D28A338">
        <w:trPr>
          <w:cantSplit/>
          <w:trHeight w:val="440"/>
        </w:trPr>
        <w:tc>
          <w:tcPr>
            <w:tcW w:w="10076" w:type="dxa"/>
            <w:vAlign w:val="center"/>
          </w:tcPr>
          <w:p w14:paraId="70BB3481"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0216B987" w14:textId="77777777" w:rsidTr="3D28A338">
        <w:trPr>
          <w:cantSplit/>
          <w:trHeight w:val="1639"/>
        </w:trPr>
        <w:tc>
          <w:tcPr>
            <w:tcW w:w="10076" w:type="dxa"/>
            <w:shd w:val="clear" w:color="auto" w:fill="DEEAF6" w:themeFill="accent1" w:themeFillTint="33"/>
          </w:tcPr>
          <w:p w14:paraId="4467CE8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D6B8D40" w14:textId="27AFDAEF" w:rsidR="00F662C5" w:rsidRDefault="00E52619">
            <w:r w:rsidRPr="00E52619">
              <w:rPr>
                <w:rFonts w:ascii="Arial" w:hAnsi="Arial"/>
                <w:sz w:val="18"/>
              </w:rPr>
              <w:t xml:space="preserve">No todas. Las actividades de auditoría de fuentes, pipeline reproducible y modelo de demanda están cumplidas, aunque el </w:t>
            </w:r>
            <w:proofErr w:type="spellStart"/>
            <w:r w:rsidRPr="00E52619">
              <w:rPr>
                <w:rFonts w:ascii="Arial" w:hAnsi="Arial"/>
                <w:sz w:val="18"/>
              </w:rPr>
              <w:t>holdout</w:t>
            </w:r>
            <w:proofErr w:type="spellEnd"/>
            <w:r w:rsidRPr="00E52619">
              <w:rPr>
                <w:rFonts w:ascii="Arial" w:hAnsi="Arial"/>
                <w:sz w:val="18"/>
              </w:rPr>
              <w:t xml:space="preserve"> del modelo aún no está cerrado. El prototipo y la arquitectura están parcialmente hechos. El análisis de duración de estadía de hospitalización está pendiente; solo existe el perfilado descriptivo. La accesibilidad OSM/GTFS no tiene código todavía, y las pruebas con usuarios y el despliegue no se han iniciado. Lo que más facilitó el avance fue contar con datos oficiales disponibles y un pipeline reproducible desde el principio. Lo que lo dificultó fueron los datos que cambian (el archivo de urgencias 2026 se actualizó con un corte nuevo), los caracteres corruptos en origen en egresos 2024–2025, y un maestro de establecimientos que pasó de 1.172 a 1.181 registros.</w:t>
            </w:r>
          </w:p>
        </w:tc>
      </w:tr>
    </w:tbl>
    <w:p w14:paraId="3CD82B63"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1DE26D4" w14:textId="77777777" w:rsidTr="3D28A338">
        <w:trPr>
          <w:cantSplit/>
          <w:trHeight w:val="440"/>
        </w:trPr>
        <w:tc>
          <w:tcPr>
            <w:tcW w:w="10076" w:type="dxa"/>
            <w:vAlign w:val="center"/>
          </w:tcPr>
          <w:p w14:paraId="4C054969"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7B66398F" w14:textId="77777777" w:rsidTr="3D28A338">
        <w:trPr>
          <w:cantSplit/>
          <w:trHeight w:val="1639"/>
        </w:trPr>
        <w:tc>
          <w:tcPr>
            <w:tcW w:w="10076" w:type="dxa"/>
            <w:shd w:val="clear" w:color="auto" w:fill="DEEAF6" w:themeFill="accent1" w:themeFillTint="33"/>
          </w:tcPr>
          <w:p w14:paraId="428432C9"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649D2375" w14:textId="35E787CD" w:rsidR="00F662C5" w:rsidRDefault="00E52619">
            <w:r w:rsidRPr="00E52619">
              <w:rPr>
                <w:rFonts w:ascii="Arial" w:hAnsi="Arial"/>
                <w:sz w:val="18"/>
              </w:rPr>
              <w:t>Frente a los datos que cambian, registramos la procedencia de cada descarga con su hash, y el pronóstico persistido guarda el SHA256 de sus entradas, de modo que si algo cambia el sistema lo detecta y recalcula. El subregistro de 2020 se excluye de las comparaciones y queda documentado. La accesibilidad es la dificultad más seria y aún no tiene respuesta: planeo reducir el alcance al MVP de la ERF v1.1, con cobertura por red vial y sin isócronas de transporte público, y dejar explícito lo que queda fuera, a confirmar con la docente. Los intervalos regionales están mal calibrados (cubren 70% frente al 80% nominal); lo reportaremos como limitación en lugar de ocultarlo.</w:t>
            </w:r>
          </w:p>
        </w:tc>
      </w:tr>
    </w:tbl>
    <w:p w14:paraId="1BBB1F08" w14:textId="77777777" w:rsidR="004F2A8B" w:rsidRDefault="004F2A8B" w:rsidP="3D28A338">
      <w:pPr>
        <w:spacing w:after="0" w:line="360" w:lineRule="auto"/>
        <w:jc w:val="both"/>
        <w:rPr>
          <w:color w:val="595959" w:themeColor="text1" w:themeTint="A6"/>
          <w:sz w:val="24"/>
          <w:szCs w:val="24"/>
          <w:lang w:eastAsia="ja-JP"/>
        </w:rPr>
      </w:pPr>
    </w:p>
    <w:p w14:paraId="74A247F3" w14:textId="77777777" w:rsidR="004F2A8B" w:rsidRDefault="004F2A8B" w:rsidP="3D28A338">
      <w:pPr>
        <w:spacing w:after="0" w:line="360" w:lineRule="auto"/>
        <w:jc w:val="both"/>
        <w:rPr>
          <w:b/>
          <w:bCs/>
          <w:sz w:val="24"/>
          <w:szCs w:val="24"/>
        </w:rPr>
      </w:pPr>
    </w:p>
    <w:p w14:paraId="10AF3183" w14:textId="77777777" w:rsidR="004F2A8B" w:rsidRDefault="004F2A8B" w:rsidP="3D28A338">
      <w:pPr>
        <w:spacing w:after="0" w:line="360" w:lineRule="auto"/>
        <w:jc w:val="both"/>
        <w:rPr>
          <w:b/>
          <w:bCs/>
          <w:sz w:val="24"/>
          <w:szCs w:val="24"/>
        </w:rPr>
      </w:pPr>
    </w:p>
    <w:p w14:paraId="2C0B285C" w14:textId="77777777" w:rsidR="00B25651" w:rsidRDefault="00B25651" w:rsidP="3D28A338">
      <w:pPr>
        <w:spacing w:after="0" w:line="360" w:lineRule="auto"/>
        <w:jc w:val="both"/>
        <w:rPr>
          <w:b/>
          <w:bCs/>
          <w:sz w:val="24"/>
          <w:szCs w:val="24"/>
        </w:rPr>
      </w:pPr>
    </w:p>
    <w:p w14:paraId="43182CFC" w14:textId="77777777" w:rsidR="00B25651" w:rsidRDefault="00B25651" w:rsidP="3D28A338">
      <w:pPr>
        <w:spacing w:after="0" w:line="360" w:lineRule="auto"/>
        <w:jc w:val="both"/>
        <w:rPr>
          <w:b/>
          <w:bCs/>
          <w:sz w:val="24"/>
          <w:szCs w:val="24"/>
        </w:rPr>
      </w:pPr>
    </w:p>
    <w:p w14:paraId="1182980A" w14:textId="77777777" w:rsidR="004F2A8B" w:rsidRDefault="004F2A8B" w:rsidP="3D28A338">
      <w:pPr>
        <w:spacing w:after="0" w:line="360" w:lineRule="auto"/>
        <w:jc w:val="both"/>
        <w:rPr>
          <w:b/>
          <w:bCs/>
          <w:sz w:val="24"/>
          <w:szCs w:val="24"/>
        </w:rPr>
      </w:pPr>
    </w:p>
    <w:p w14:paraId="5A0F7EF7" w14:textId="77777777" w:rsidR="004F2A8B" w:rsidRDefault="004F2A8B" w:rsidP="3D28A338">
      <w:pPr>
        <w:spacing w:after="0" w:line="360" w:lineRule="auto"/>
        <w:jc w:val="both"/>
        <w:rPr>
          <w:b/>
          <w:bCs/>
          <w:sz w:val="24"/>
          <w:szCs w:val="24"/>
        </w:rPr>
      </w:pPr>
    </w:p>
    <w:p w14:paraId="1F86A093" w14:textId="77777777" w:rsidR="008B2AC7" w:rsidRDefault="008B2AC7" w:rsidP="3D28A338">
      <w:pPr>
        <w:spacing w:after="0" w:line="360" w:lineRule="auto"/>
        <w:jc w:val="both"/>
        <w:rPr>
          <w:b/>
          <w:bCs/>
          <w:sz w:val="24"/>
          <w:szCs w:val="24"/>
        </w:rPr>
      </w:pPr>
    </w:p>
    <w:p w14:paraId="0ACAEEE3"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901F557" w14:textId="77777777" w:rsidTr="3D28A338">
        <w:trPr>
          <w:cantSplit/>
          <w:trHeight w:val="440"/>
        </w:trPr>
        <w:tc>
          <w:tcPr>
            <w:tcW w:w="10076" w:type="dxa"/>
            <w:vAlign w:val="center"/>
          </w:tcPr>
          <w:p w14:paraId="263B38E2"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3C7B9B7A" w14:textId="77777777" w:rsidTr="3D28A338">
        <w:trPr>
          <w:cantSplit/>
          <w:trHeight w:val="1624"/>
        </w:trPr>
        <w:tc>
          <w:tcPr>
            <w:tcW w:w="10076" w:type="dxa"/>
            <w:shd w:val="clear" w:color="auto" w:fill="DEEAF6" w:themeFill="accent1" w:themeFillTint="33"/>
          </w:tcPr>
          <w:p w14:paraId="6B2DF022"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C6226E9" w14:textId="420D7D9B" w:rsidR="00F662C5" w:rsidRDefault="00E52619">
            <w:r w:rsidRPr="00E52619">
              <w:rPr>
                <w:rFonts w:ascii="Arial" w:hAnsi="Arial"/>
                <w:sz w:val="18"/>
              </w:rPr>
              <w:t xml:space="preserve">Destaco la reproducibilidad: cada cifra sale de código, y el modelo supera al </w:t>
            </w:r>
            <w:proofErr w:type="spellStart"/>
            <w:r w:rsidRPr="00E52619">
              <w:rPr>
                <w:rFonts w:ascii="Arial" w:hAnsi="Arial"/>
                <w:sz w:val="18"/>
              </w:rPr>
              <w:t>baseline</w:t>
            </w:r>
            <w:proofErr w:type="spellEnd"/>
            <w:r w:rsidRPr="00E52619">
              <w:rPr>
                <w:rFonts w:ascii="Arial" w:hAnsi="Arial"/>
                <w:sz w:val="18"/>
              </w:rPr>
              <w:t xml:space="preserve"> en las comunas en los ocho horizontes, medido y no supuesto. Lo mejoraría en dos cosas. Primero, el alcance creció hacia la </w:t>
            </w:r>
            <w:proofErr w:type="spellStart"/>
            <w:r w:rsidRPr="00E52619">
              <w:rPr>
                <w:rFonts w:ascii="Arial" w:hAnsi="Arial"/>
                <w:sz w:val="18"/>
              </w:rPr>
              <w:t>landing</w:t>
            </w:r>
            <w:proofErr w:type="spellEnd"/>
            <w:r w:rsidRPr="00E52619">
              <w:rPr>
                <w:rFonts w:ascii="Arial" w:hAnsi="Arial"/>
                <w:sz w:val="18"/>
              </w:rPr>
              <w:t>, la identidad visual y la persistencia, mientras accesibilidad y el análisis de estadía avanzaron poco; fue una priorización equivocada frente al compromiso APT. Segundo, el tablero de tareas está desactualizado y no refleja lo que ya está implementado.</w:t>
            </w:r>
          </w:p>
        </w:tc>
      </w:tr>
    </w:tbl>
    <w:p w14:paraId="6D086132" w14:textId="77777777" w:rsidR="004F2A8B" w:rsidRDefault="004F2A8B" w:rsidP="3D28A338">
      <w:pPr>
        <w:spacing w:after="0" w:line="360" w:lineRule="auto"/>
        <w:jc w:val="both"/>
        <w:rPr>
          <w:color w:val="595959" w:themeColor="text1" w:themeTint="A6"/>
          <w:sz w:val="24"/>
          <w:szCs w:val="24"/>
          <w:lang w:eastAsia="ja-JP"/>
        </w:rPr>
      </w:pPr>
    </w:p>
    <w:p w14:paraId="7585BF1C"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20E9E29" w14:textId="77777777" w:rsidTr="3D28A338">
        <w:trPr>
          <w:cantSplit/>
          <w:trHeight w:val="440"/>
        </w:trPr>
        <w:tc>
          <w:tcPr>
            <w:tcW w:w="10076" w:type="dxa"/>
            <w:vAlign w:val="center"/>
          </w:tcPr>
          <w:p w14:paraId="2701906E"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458DC2EA" w14:textId="77777777" w:rsidTr="3D28A338">
        <w:trPr>
          <w:cantSplit/>
          <w:trHeight w:val="1639"/>
        </w:trPr>
        <w:tc>
          <w:tcPr>
            <w:tcW w:w="10076" w:type="dxa"/>
            <w:shd w:val="clear" w:color="auto" w:fill="DEEAF6" w:themeFill="accent1" w:themeFillTint="33"/>
          </w:tcPr>
          <w:p w14:paraId="05D64857"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8A1E2FD" w14:textId="3E482EFA" w:rsidR="00F662C5" w:rsidRDefault="00E52619">
            <w:r w:rsidRPr="00E52619">
              <w:rPr>
                <w:rFonts w:ascii="Arial" w:hAnsi="Arial"/>
                <w:sz w:val="18"/>
              </w:rPr>
              <w:t>A la docente: ¿los horizontes 1 a 3 son aceptables como operativos sin cambiar el compromiso de 4 a 8 semanas? ¿Qué cobertura de intervalo es aceptable reportar cuando el resultado regional queda bajo el nominal? ¿Podemos reducir la accesibilidad a red vial si el GTFS no se integra a tiempo? ¿Cómo documentamos la contribución individual en un repositorio compartido? A mis pares: ¿quién toma la accesibilidad y el análisis de estadía?</w:t>
            </w:r>
          </w:p>
        </w:tc>
      </w:tr>
    </w:tbl>
    <w:p w14:paraId="6A7B72BC" w14:textId="77777777" w:rsidR="004F2A8B" w:rsidRDefault="004F2A8B" w:rsidP="3D28A338">
      <w:pPr>
        <w:spacing w:after="0" w:line="360" w:lineRule="auto"/>
        <w:jc w:val="both"/>
        <w:rPr>
          <w:color w:val="595959" w:themeColor="text1" w:themeTint="A6"/>
          <w:sz w:val="24"/>
          <w:szCs w:val="24"/>
          <w:lang w:eastAsia="ja-JP"/>
        </w:rPr>
      </w:pPr>
    </w:p>
    <w:p w14:paraId="1CED868B"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D661CA9" w14:textId="77777777" w:rsidTr="3D28A338">
        <w:trPr>
          <w:cantSplit/>
          <w:trHeight w:val="440"/>
        </w:trPr>
        <w:tc>
          <w:tcPr>
            <w:tcW w:w="10076" w:type="dxa"/>
            <w:vAlign w:val="center"/>
          </w:tcPr>
          <w:p w14:paraId="5F4F39B7"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2DC37E4E" w14:textId="77777777" w:rsidTr="3D28A338">
        <w:trPr>
          <w:cantSplit/>
          <w:trHeight w:val="1639"/>
        </w:trPr>
        <w:tc>
          <w:tcPr>
            <w:tcW w:w="10076" w:type="dxa"/>
            <w:shd w:val="clear" w:color="auto" w:fill="DEEAF6" w:themeFill="accent1" w:themeFillTint="33"/>
          </w:tcPr>
          <w:p w14:paraId="516670E9"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2067BAD" w14:textId="3EC2C33A" w:rsidR="00F662C5" w:rsidRDefault="00E52619">
            <w:r w:rsidRPr="00E52619">
              <w:rPr>
                <w:rFonts w:ascii="Arial" w:hAnsi="Arial"/>
                <w:sz w:val="18"/>
              </w:rPr>
              <w:t xml:space="preserve">Sí. En el Gantt, accesibilidad y plataforma están asignadas a la misma persona, una carga poco sostenible, y accesibilidad no tiene avance. Catalina figura como geoespacial en el README y tiene despliegue y arquitectura, así que sería la candidata natural para accesibilidad. Faltan actividades: </w:t>
            </w:r>
            <w:proofErr w:type="spellStart"/>
            <w:r w:rsidRPr="00E52619">
              <w:rPr>
                <w:rFonts w:ascii="Arial" w:hAnsi="Arial"/>
                <w:sz w:val="18"/>
              </w:rPr>
              <w:t>tests</w:t>
            </w:r>
            <w:proofErr w:type="spellEnd"/>
            <w:r w:rsidRPr="00E52619">
              <w:rPr>
                <w:rFonts w:ascii="Arial" w:hAnsi="Arial"/>
                <w:sz w:val="18"/>
              </w:rPr>
              <w:t xml:space="preserve"> de datos con fixtures, un CI básico, el diccionario de datos procesados y la validación con el usuario piloto. Antes de reasignar, hay que confirmar con el equipo que los roles siguen vigentes.</w:t>
            </w:r>
          </w:p>
        </w:tc>
      </w:tr>
    </w:tbl>
    <w:p w14:paraId="3FD143BD" w14:textId="77777777" w:rsidR="004F2A8B" w:rsidRDefault="004F2A8B" w:rsidP="3D28A338">
      <w:pPr>
        <w:spacing w:after="0" w:line="360" w:lineRule="auto"/>
        <w:jc w:val="both"/>
        <w:rPr>
          <w:color w:val="595959" w:themeColor="text1" w:themeTint="A6"/>
          <w:sz w:val="24"/>
          <w:szCs w:val="24"/>
          <w:lang w:eastAsia="ja-JP"/>
        </w:rPr>
      </w:pPr>
    </w:p>
    <w:p w14:paraId="5A20757C"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981F2D2" w14:textId="77777777" w:rsidTr="3D28A338">
        <w:trPr>
          <w:cantSplit/>
          <w:trHeight w:val="440"/>
        </w:trPr>
        <w:tc>
          <w:tcPr>
            <w:tcW w:w="10076" w:type="dxa"/>
            <w:vAlign w:val="center"/>
          </w:tcPr>
          <w:p w14:paraId="2A480F5C" w14:textId="77777777"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C54D300" w14:textId="77777777" w:rsidTr="3D28A338">
        <w:trPr>
          <w:cantSplit/>
          <w:trHeight w:val="1639"/>
        </w:trPr>
        <w:tc>
          <w:tcPr>
            <w:tcW w:w="10076" w:type="dxa"/>
            <w:shd w:val="clear" w:color="auto" w:fill="DEEAF6" w:themeFill="accent1" w:themeFillTint="33"/>
          </w:tcPr>
          <w:p w14:paraId="794D372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24AD833" w14:textId="31296C7F" w:rsidR="00F662C5" w:rsidRPr="00E52619" w:rsidRDefault="00E52619">
            <w:pPr>
              <w:rPr>
                <w:u w:val="single"/>
              </w:rPr>
            </w:pPr>
            <w:r w:rsidRPr="00E52619">
              <w:rPr>
                <w:rFonts w:ascii="Arial" w:hAnsi="Arial"/>
                <w:sz w:val="18"/>
              </w:rPr>
              <w:t xml:space="preserve">Positivo: la división por áreas está clara en el plan, las decisiones quedan registradas en bitácoras y el repositorio mantiene estándares técnicos parejos. A mejorar: la contribución es desigual (desde agosto, una cuenta concentra 38 de 59 </w:t>
            </w:r>
            <w:proofErr w:type="spellStart"/>
            <w:r w:rsidRPr="00E52619">
              <w:rPr>
                <w:rFonts w:ascii="Arial" w:hAnsi="Arial"/>
                <w:sz w:val="18"/>
              </w:rPr>
              <w:t>commits</w:t>
            </w:r>
            <w:proofErr w:type="spellEnd"/>
            <w:r w:rsidRPr="00E52619">
              <w:rPr>
                <w:rFonts w:ascii="Arial" w:hAnsi="Arial"/>
                <w:sz w:val="18"/>
              </w:rPr>
              <w:t xml:space="preserve">), aunque no puedo asociar cuentas con personas con certeza y el número por sí solo no mide el trabajo. Todo se </w:t>
            </w:r>
            <w:proofErr w:type="spellStart"/>
            <w:r w:rsidRPr="00E52619">
              <w:rPr>
                <w:rFonts w:ascii="Arial" w:hAnsi="Arial"/>
                <w:sz w:val="18"/>
              </w:rPr>
              <w:t>commitea</w:t>
            </w:r>
            <w:proofErr w:type="spellEnd"/>
            <w:r w:rsidRPr="00E52619">
              <w:rPr>
                <w:rFonts w:ascii="Arial" w:hAnsi="Arial"/>
                <w:sz w:val="18"/>
              </w:rPr>
              <w:t xml:space="preserve"> directo a </w:t>
            </w:r>
            <w:proofErr w:type="spellStart"/>
            <w:r w:rsidRPr="00E52619">
              <w:rPr>
                <w:rFonts w:ascii="Arial" w:hAnsi="Arial"/>
                <w:sz w:val="18"/>
              </w:rPr>
              <w:t>main</w:t>
            </w:r>
            <w:proofErr w:type="spellEnd"/>
            <w:r w:rsidRPr="00E52619">
              <w:rPr>
                <w:rFonts w:ascii="Arial" w:hAnsi="Arial"/>
                <w:sz w:val="18"/>
              </w:rPr>
              <w:t xml:space="preserve">, sin revisión por </w:t>
            </w:r>
            <w:proofErr w:type="spellStart"/>
            <w:r w:rsidRPr="00E52619">
              <w:rPr>
                <w:rFonts w:ascii="Arial" w:hAnsi="Arial"/>
                <w:sz w:val="18"/>
              </w:rPr>
              <w:t>pull</w:t>
            </w:r>
            <w:proofErr w:type="spellEnd"/>
            <w:r w:rsidRPr="00E52619">
              <w:rPr>
                <w:rFonts w:ascii="Arial" w:hAnsi="Arial"/>
                <w:sz w:val="18"/>
              </w:rPr>
              <w:t xml:space="preserve"> </w:t>
            </w:r>
            <w:proofErr w:type="spellStart"/>
            <w:r w:rsidRPr="00E52619">
              <w:rPr>
                <w:rFonts w:ascii="Arial" w:hAnsi="Arial"/>
                <w:sz w:val="18"/>
              </w:rPr>
              <w:t>request</w:t>
            </w:r>
            <w:proofErr w:type="spellEnd"/>
            <w:r w:rsidRPr="00E52619">
              <w:rPr>
                <w:rFonts w:ascii="Arial" w:hAnsi="Arial"/>
                <w:sz w:val="18"/>
              </w:rPr>
              <w:t>, y eso permitió que un cambio sobrescribiera el trabajo de otro en PROJECT_CONTEXT.md. Y el tablero no refleja el estado real, lo que dificulta ver quién hace qué.</w:t>
            </w:r>
          </w:p>
        </w:tc>
      </w:tr>
    </w:tbl>
    <w:p w14:paraId="4D2F82DD" w14:textId="77777777" w:rsidR="004F2A8B" w:rsidRDefault="004F2A8B" w:rsidP="3D28A338">
      <w:pPr>
        <w:spacing w:after="0" w:line="360" w:lineRule="auto"/>
        <w:jc w:val="both"/>
        <w:rPr>
          <w:color w:val="595959" w:themeColor="text1" w:themeTint="A6"/>
          <w:sz w:val="24"/>
          <w:szCs w:val="24"/>
          <w:lang w:eastAsia="ja-JP"/>
        </w:rPr>
      </w:pPr>
    </w:p>
    <w:p w14:paraId="32BC2649"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3EDF" w14:textId="77777777" w:rsidR="00BB41AC" w:rsidRDefault="00BB41AC" w:rsidP="00DF38AE">
      <w:pPr>
        <w:spacing w:after="0" w:line="240" w:lineRule="auto"/>
      </w:pPr>
      <w:r>
        <w:separator/>
      </w:r>
    </w:p>
  </w:endnote>
  <w:endnote w:type="continuationSeparator" w:id="0">
    <w:p w14:paraId="269FCD48" w14:textId="77777777" w:rsidR="00BB41AC" w:rsidRDefault="00BB41A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D6F1917"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27555"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9027555"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B78D3" w14:textId="77777777" w:rsidR="00BB41AC" w:rsidRDefault="00BB41AC" w:rsidP="00DF38AE">
      <w:pPr>
        <w:spacing w:after="0" w:line="240" w:lineRule="auto"/>
      </w:pPr>
      <w:r>
        <w:separator/>
      </w:r>
    </w:p>
  </w:footnote>
  <w:footnote w:type="continuationSeparator" w:id="0">
    <w:p w14:paraId="497C02ED" w14:textId="77777777" w:rsidR="00BB41AC" w:rsidRDefault="00BB41A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0BD78BDE" w14:textId="77777777" w:rsidTr="00C5460F">
      <w:trPr>
        <w:trHeight w:val="697"/>
      </w:trPr>
      <w:tc>
        <w:tcPr>
          <w:tcW w:w="5707" w:type="dxa"/>
          <w:tcBorders>
            <w:top w:val="nil"/>
            <w:left w:val="nil"/>
            <w:bottom w:val="nil"/>
            <w:right w:val="nil"/>
          </w:tcBorders>
        </w:tcPr>
        <w:p w14:paraId="07AF3725"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7E33678"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12AD83FF"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5AD7E6B"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71D7194"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32BF2584" w14:textId="77777777" w:rsidTr="009C76B3">
      <w:trPr>
        <w:trHeight w:val="1091"/>
      </w:trPr>
      <w:tc>
        <w:tcPr>
          <w:tcW w:w="675" w:type="dxa"/>
          <w:tcBorders>
            <w:top w:val="nil"/>
            <w:left w:val="nil"/>
            <w:bottom w:val="nil"/>
            <w:right w:val="nil"/>
          </w:tcBorders>
          <w:hideMark/>
        </w:tcPr>
        <w:p w14:paraId="33D50E64"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0F95D072"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16A6F26"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6B36AE16"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2BC1856B"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3A282FD1"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6A0F0275"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7224254">
    <w:abstractNumId w:val="3"/>
  </w:num>
  <w:num w:numId="2" w16cid:durableId="546113619">
    <w:abstractNumId w:val="8"/>
  </w:num>
  <w:num w:numId="3" w16cid:durableId="1407916359">
    <w:abstractNumId w:val="12"/>
  </w:num>
  <w:num w:numId="4" w16cid:durableId="934746326">
    <w:abstractNumId w:val="28"/>
  </w:num>
  <w:num w:numId="5" w16cid:durableId="1150488440">
    <w:abstractNumId w:val="30"/>
  </w:num>
  <w:num w:numId="6" w16cid:durableId="1047686661">
    <w:abstractNumId w:val="4"/>
  </w:num>
  <w:num w:numId="7" w16cid:durableId="887229518">
    <w:abstractNumId w:val="11"/>
  </w:num>
  <w:num w:numId="8" w16cid:durableId="1958021096">
    <w:abstractNumId w:val="19"/>
  </w:num>
  <w:num w:numId="9" w16cid:durableId="382564422">
    <w:abstractNumId w:val="15"/>
  </w:num>
  <w:num w:numId="10" w16cid:durableId="2066247672">
    <w:abstractNumId w:val="9"/>
  </w:num>
  <w:num w:numId="11" w16cid:durableId="520356976">
    <w:abstractNumId w:val="24"/>
  </w:num>
  <w:num w:numId="12" w16cid:durableId="1825002101">
    <w:abstractNumId w:val="35"/>
  </w:num>
  <w:num w:numId="13" w16cid:durableId="459962714">
    <w:abstractNumId w:val="29"/>
  </w:num>
  <w:num w:numId="14" w16cid:durableId="404112073">
    <w:abstractNumId w:val="1"/>
  </w:num>
  <w:num w:numId="15" w16cid:durableId="1293753846">
    <w:abstractNumId w:val="36"/>
  </w:num>
  <w:num w:numId="16" w16cid:durableId="1508326984">
    <w:abstractNumId w:val="21"/>
  </w:num>
  <w:num w:numId="17" w16cid:durableId="1128670729">
    <w:abstractNumId w:val="17"/>
  </w:num>
  <w:num w:numId="18" w16cid:durableId="460419535">
    <w:abstractNumId w:val="31"/>
  </w:num>
  <w:num w:numId="19" w16cid:durableId="549342218">
    <w:abstractNumId w:val="10"/>
  </w:num>
  <w:num w:numId="20" w16cid:durableId="899365305">
    <w:abstractNumId w:val="39"/>
  </w:num>
  <w:num w:numId="21" w16cid:durableId="925923819">
    <w:abstractNumId w:val="34"/>
  </w:num>
  <w:num w:numId="22" w16cid:durableId="697466664">
    <w:abstractNumId w:val="13"/>
  </w:num>
  <w:num w:numId="23" w16cid:durableId="1954096373">
    <w:abstractNumId w:val="14"/>
  </w:num>
  <w:num w:numId="24" w16cid:durableId="148521348">
    <w:abstractNumId w:val="5"/>
  </w:num>
  <w:num w:numId="25" w16cid:durableId="892230835">
    <w:abstractNumId w:val="16"/>
  </w:num>
  <w:num w:numId="26" w16cid:durableId="1326276284">
    <w:abstractNumId w:val="20"/>
  </w:num>
  <w:num w:numId="27" w16cid:durableId="1908563180">
    <w:abstractNumId w:val="23"/>
  </w:num>
  <w:num w:numId="28" w16cid:durableId="1132485167">
    <w:abstractNumId w:val="0"/>
  </w:num>
  <w:num w:numId="29" w16cid:durableId="1353528862">
    <w:abstractNumId w:val="18"/>
  </w:num>
  <w:num w:numId="30" w16cid:durableId="1101536384">
    <w:abstractNumId w:val="22"/>
  </w:num>
  <w:num w:numId="31" w16cid:durableId="1141071923">
    <w:abstractNumId w:val="2"/>
  </w:num>
  <w:num w:numId="32" w16cid:durableId="2010130058">
    <w:abstractNumId w:val="7"/>
  </w:num>
  <w:num w:numId="33" w16cid:durableId="1491944502">
    <w:abstractNumId w:val="32"/>
  </w:num>
  <w:num w:numId="34" w16cid:durableId="1161887941">
    <w:abstractNumId w:val="38"/>
  </w:num>
  <w:num w:numId="35" w16cid:durableId="294408037">
    <w:abstractNumId w:val="6"/>
  </w:num>
  <w:num w:numId="36" w16cid:durableId="30693265">
    <w:abstractNumId w:val="25"/>
  </w:num>
  <w:num w:numId="37" w16cid:durableId="2087409803">
    <w:abstractNumId w:val="37"/>
  </w:num>
  <w:num w:numId="38" w16cid:durableId="1090617081">
    <w:abstractNumId w:val="27"/>
  </w:num>
  <w:num w:numId="39" w16cid:durableId="946622388">
    <w:abstractNumId w:val="26"/>
  </w:num>
  <w:num w:numId="40" w16cid:durableId="164222544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5165"/>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41AC"/>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2619"/>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62C5"/>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5A9E5"/>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765</Words>
  <Characters>4212</Characters>
  <Application>Microsoft Office Word</Application>
  <DocSecurity>0</DocSecurity>
  <Lines>35</Lines>
  <Paragraphs>9</Paragraphs>
  <ScaleCrop>false</ScaleCrop>
  <Company>Wal-Mart Stores, Inc.</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Cristopher Rojas</cp:lastModifiedBy>
  <cp:revision>43</cp:revision>
  <cp:lastPrinted>2019-12-16T20:10:00Z</cp:lastPrinted>
  <dcterms:created xsi:type="dcterms:W3CDTF">2021-12-31T12:50:00Z</dcterms:created>
  <dcterms:modified xsi:type="dcterms:W3CDTF">2026-10-15T11:53:00Z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