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B19DBD9" w:rsidR="00D110EC" w:rsidRDefault="0036125D" w:rsidP="00C27FB0">
            <w:pPr>
              <w:rPr>
                <w:b/>
              </w:rPr>
            </w:pPr>
            <w:r>
              <w:rPr>
                <w:b/>
              </w:rPr>
              <w:t>Cristopher Rojas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FDAC4A0" w:rsidR="00D110EC" w:rsidRDefault="0036125D" w:rsidP="00C27FB0">
            <w:pPr>
              <w:rPr>
                <w:b/>
              </w:rPr>
            </w:pPr>
            <w:r>
              <w:rPr>
                <w:b/>
              </w:rPr>
              <w:t>20282203-7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39DEEDC" w:rsidR="00D110EC" w:rsidRDefault="0036125D" w:rsidP="00C27FB0">
            <w:pPr>
              <w:rPr>
                <w:b/>
              </w:rPr>
            </w:pPr>
            <w:r>
              <w:rPr>
                <w:b/>
              </w:rPr>
              <w:t xml:space="preserve">Ingeniería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150AFF5" w:rsidR="00D110EC" w:rsidRDefault="0036125D" w:rsidP="00C27FB0">
            <w:pPr>
              <w:rPr>
                <w:b/>
              </w:rPr>
            </w:pPr>
            <w:r>
              <w:rPr>
                <w:b/>
              </w:rPr>
              <w:t>Antonio Varas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5753CED" w:rsidR="00D110EC" w:rsidRDefault="0036125D" w:rsidP="00DC7A34">
            <w:pPr>
              <w:rPr>
                <w:b/>
              </w:rPr>
            </w:pPr>
            <w:r w:rsidRPr="0036125D">
              <w:rPr>
                <w:rFonts w:ascii="Calibri" w:hAnsi="Calibri" w:cs="Arial"/>
                <w:i/>
                <w:color w:val="548DD4"/>
                <w:sz w:val="20"/>
                <w:szCs w:val="20"/>
                <w:lang w:eastAsia="es-CL"/>
              </w:rPr>
              <w:t>SAAD: Sistema de Análisis y Anticipación de Demanda de Urgencia en Salud Mental para la Región Metropolitana.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A7D2C49" w:rsidR="00D110EC" w:rsidRDefault="0036125D" w:rsidP="00C27FB0">
            <w:pPr>
              <w:rPr>
                <w:b/>
              </w:rPr>
            </w:pPr>
            <w:r w:rsidRPr="0036125D">
              <w:rPr>
                <w:rFonts w:ascii="Calibri" w:hAnsi="Calibri" w:cs="Arial"/>
                <w:i/>
                <w:color w:val="548DD4"/>
                <w:sz w:val="20"/>
                <w:szCs w:val="20"/>
                <w:lang w:eastAsia="es-CL"/>
              </w:rPr>
              <w:t>Ciencia de Datos, Arquitectura de Sistemas y Desarrollo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93126FE" w:rsidR="00D110EC" w:rsidRDefault="0036125D" w:rsidP="14C86939">
            <w:pPr>
              <w:rPr>
                <w:b/>
                <w:bCs/>
              </w:rPr>
            </w:pPr>
            <w:r w:rsidRPr="0036125D">
              <w:rPr>
                <w:rFonts w:ascii="Calibri" w:hAnsi="Calibri" w:cs="Arial"/>
                <w:i/>
                <w:iCs/>
                <w:color w:val="548DD4"/>
                <w:sz w:val="20"/>
                <w:szCs w:val="20"/>
                <w:lang w:eastAsia="es-CL"/>
              </w:rPr>
              <w:t xml:space="preserve">Modelamiento predictivo, análisis de datos geoespaciales, desarrollo de aplicaciones web (API y </w:t>
            </w:r>
            <w:proofErr w:type="spellStart"/>
            <w:r w:rsidRPr="0036125D">
              <w:rPr>
                <w:rFonts w:ascii="Calibri" w:hAnsi="Calibri" w:cs="Arial"/>
                <w:i/>
                <w:iCs/>
                <w:color w:val="548DD4"/>
                <w:sz w:val="20"/>
                <w:szCs w:val="20"/>
                <w:lang w:eastAsia="es-CL"/>
              </w:rPr>
              <w:t>Frontend</w:t>
            </w:r>
            <w:proofErr w:type="spellEnd"/>
            <w:r w:rsidRPr="0036125D">
              <w:rPr>
                <w:rFonts w:ascii="Calibri" w:hAnsi="Calibri" w:cs="Arial"/>
                <w:i/>
                <w:iCs/>
                <w:color w:val="548DD4"/>
                <w:sz w:val="20"/>
                <w:szCs w:val="20"/>
                <w:lang w:eastAsia="es-CL"/>
              </w:rPr>
              <w:t>), y gestión de proyectos con metodologías ágiles.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35F4250" w14:textId="3D29E876" w:rsidR="0036125D" w:rsidRPr="0036125D" w:rsidRDefault="0036125D" w:rsidP="0036125D">
            <w:pPr>
              <w:jc w:val="both"/>
              <w:rPr>
                <w:rFonts w:ascii="Calibri" w:hAnsi="Calibri" w:cs="Arial"/>
                <w:i/>
                <w:iCs/>
                <w:color w:val="548DD4"/>
                <w:sz w:val="20"/>
                <w:szCs w:val="20"/>
                <w:lang w:eastAsia="es-CL"/>
              </w:rPr>
            </w:pPr>
            <w:r w:rsidRPr="0036125D">
              <w:rPr>
                <w:rFonts w:ascii="Calibri" w:hAnsi="Calibri" w:cs="Arial"/>
                <w:i/>
                <w:iCs/>
                <w:color w:val="548DD4"/>
                <w:sz w:val="20"/>
                <w:szCs w:val="20"/>
                <w:lang w:eastAsia="es-CL"/>
              </w:rPr>
              <w:t xml:space="preserve">La planificación actual de la red de urgencia en salud mental es un proceso principalmente reactivo. </w:t>
            </w:r>
          </w:p>
          <w:p w14:paraId="187FA9F1" w14:textId="3D5B0B35" w:rsidR="0036125D" w:rsidRPr="0036125D" w:rsidRDefault="0036125D" w:rsidP="0036125D">
            <w:pPr>
              <w:jc w:val="both"/>
              <w:rPr>
                <w:rFonts w:ascii="Calibri" w:hAnsi="Calibri" w:cs="Arial"/>
                <w:i/>
                <w:iCs/>
                <w:color w:val="548DD4"/>
                <w:sz w:val="20"/>
                <w:szCs w:val="20"/>
                <w:lang w:eastAsia="es-CL"/>
              </w:rPr>
            </w:pPr>
            <w:r w:rsidRPr="0036125D">
              <w:rPr>
                <w:rFonts w:ascii="Calibri" w:hAnsi="Calibri" w:cs="Arial"/>
                <w:i/>
                <w:iCs/>
                <w:color w:val="548DD4"/>
                <w:sz w:val="20"/>
                <w:szCs w:val="20"/>
                <w:lang w:eastAsia="es-CL"/>
              </w:rPr>
              <w:t xml:space="preserve">Aunque existen datos públicos en el DEIS/MINSAL, estos están fragmentados y requieren procesamiento para ser útiles en la toma de decisiones. </w:t>
            </w:r>
          </w:p>
          <w:p w14:paraId="74A742D6" w14:textId="4662596F" w:rsidR="0036125D" w:rsidRPr="0036125D" w:rsidRDefault="0036125D" w:rsidP="0036125D">
            <w:pPr>
              <w:jc w:val="both"/>
              <w:rPr>
                <w:rFonts w:ascii="Calibri" w:hAnsi="Calibri" w:cs="Arial"/>
                <w:i/>
                <w:iCs/>
                <w:color w:val="548DD4"/>
                <w:sz w:val="20"/>
                <w:szCs w:val="20"/>
                <w:lang w:eastAsia="es-CL"/>
              </w:rPr>
            </w:pPr>
            <w:r w:rsidRPr="0036125D">
              <w:rPr>
                <w:rFonts w:ascii="Calibri" w:hAnsi="Calibri" w:cs="Arial"/>
                <w:i/>
                <w:iCs/>
                <w:color w:val="548DD4"/>
                <w:sz w:val="20"/>
                <w:szCs w:val="20"/>
                <w:lang w:eastAsia="es-CL"/>
              </w:rPr>
              <w:t xml:space="preserve">El proyecto se sitúa en la Región Metropolitana e impacta a Servicios de Salud Metropolitanos, hospitales públicos, municipios y corporaciones. </w:t>
            </w:r>
          </w:p>
          <w:p w14:paraId="1A22ACBF" w14:textId="093899E6" w:rsidR="00E20DFE" w:rsidRPr="0036125D" w:rsidDel="008018E6" w:rsidRDefault="0036125D" w:rsidP="0036125D">
            <w:pPr>
              <w:jc w:val="both"/>
              <w:rPr>
                <w:rFonts w:ascii="Calibri" w:hAnsi="Calibri" w:cs="Arial"/>
                <w:i/>
                <w:iCs/>
                <w:color w:val="548DD4"/>
                <w:sz w:val="20"/>
                <w:szCs w:val="20"/>
                <w:lang w:eastAsia="es-CL"/>
              </w:rPr>
            </w:pPr>
            <w:r w:rsidRPr="0036125D">
              <w:rPr>
                <w:rFonts w:ascii="Calibri" w:hAnsi="Calibri" w:cs="Arial"/>
                <w:i/>
                <w:iCs/>
                <w:color w:val="548DD4"/>
                <w:sz w:val="20"/>
                <w:szCs w:val="20"/>
                <w:lang w:eastAsia="es-CL"/>
              </w:rPr>
              <w:t xml:space="preserve">El aporte de valor es visibilizar brechas territoriales y anticipar la presión sobre la red pública. </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D1D79DB" w14:textId="7B14607A"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El objetivo es desarrollar una plataforma analítica que integre fuentes oficiales para caracterizar, proyectar y territorializar la demanda. </w:t>
            </w:r>
          </w:p>
          <w:p w14:paraId="3DC0602F" w14:textId="3AFA2048" w:rsidR="00D110EC" w:rsidRPr="0036125D" w:rsidRDefault="0036125D" w:rsidP="00DA5CB1">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Se abordará mediante tres componentes: un modelo predictivo a 4-8 semanas, un cálculo de accesibilidad geoespacial, y el análisis estadístico de los factores de hospitalización.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34392D6" w14:textId="28172099"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La solución exige el despliegue de una arquitectura de software completa, abarcando desde la limpieza de datos (ETL) y bases de datos espaciales (PostgreSQL/</w:t>
            </w:r>
            <w:proofErr w:type="spellStart"/>
            <w:r w:rsidRPr="0036125D">
              <w:rPr>
                <w:rFonts w:ascii="Calibri" w:hAnsi="Calibri" w:cs="Arial"/>
                <w:i/>
                <w:color w:val="548DD4"/>
                <w:sz w:val="20"/>
                <w:szCs w:val="20"/>
                <w:lang w:eastAsia="es-CL"/>
              </w:rPr>
              <w:t>PostGIS</w:t>
            </w:r>
            <w:proofErr w:type="spellEnd"/>
            <w:r w:rsidRPr="0036125D">
              <w:rPr>
                <w:rFonts w:ascii="Calibri" w:hAnsi="Calibri" w:cs="Arial"/>
                <w:i/>
                <w:color w:val="548DD4"/>
                <w:sz w:val="20"/>
                <w:szCs w:val="20"/>
                <w:lang w:eastAsia="es-CL"/>
              </w:rPr>
              <w:t xml:space="preserve">), hasta el desarrollo </w:t>
            </w:r>
            <w:proofErr w:type="spellStart"/>
            <w:r w:rsidRPr="0036125D">
              <w:rPr>
                <w:rFonts w:ascii="Calibri" w:hAnsi="Calibri" w:cs="Arial"/>
                <w:i/>
                <w:color w:val="548DD4"/>
                <w:sz w:val="20"/>
                <w:szCs w:val="20"/>
                <w:lang w:eastAsia="es-CL"/>
              </w:rPr>
              <w:t>backend</w:t>
            </w:r>
            <w:proofErr w:type="spellEnd"/>
            <w:r w:rsidRPr="0036125D">
              <w:rPr>
                <w:rFonts w:ascii="Calibri" w:hAnsi="Calibri" w:cs="Arial"/>
                <w:i/>
                <w:color w:val="548DD4"/>
                <w:sz w:val="20"/>
                <w:szCs w:val="20"/>
                <w:lang w:eastAsia="es-CL"/>
              </w:rPr>
              <w:t xml:space="preserve"> y </w:t>
            </w:r>
            <w:proofErr w:type="spellStart"/>
            <w:r w:rsidRPr="0036125D">
              <w:rPr>
                <w:rFonts w:ascii="Calibri" w:hAnsi="Calibri" w:cs="Arial"/>
                <w:i/>
                <w:color w:val="548DD4"/>
                <w:sz w:val="20"/>
                <w:szCs w:val="20"/>
                <w:lang w:eastAsia="es-CL"/>
              </w:rPr>
              <w:t>frontend</w:t>
            </w:r>
            <w:proofErr w:type="spellEnd"/>
            <w:r w:rsidRPr="0036125D">
              <w:rPr>
                <w:rFonts w:ascii="Calibri" w:hAnsi="Calibri" w:cs="Arial"/>
                <w:i/>
                <w:color w:val="548DD4"/>
                <w:sz w:val="20"/>
                <w:szCs w:val="20"/>
                <w:lang w:eastAsia="es-CL"/>
              </w:rPr>
              <w:t xml:space="preserve"> (Python/</w:t>
            </w:r>
            <w:proofErr w:type="spellStart"/>
            <w:r w:rsidRPr="0036125D">
              <w:rPr>
                <w:rFonts w:ascii="Calibri" w:hAnsi="Calibri" w:cs="Arial"/>
                <w:i/>
                <w:color w:val="548DD4"/>
                <w:sz w:val="20"/>
                <w:szCs w:val="20"/>
                <w:lang w:eastAsia="es-CL"/>
              </w:rPr>
              <w:t>React</w:t>
            </w:r>
            <w:proofErr w:type="spellEnd"/>
            <w:r w:rsidRPr="0036125D">
              <w:rPr>
                <w:rFonts w:ascii="Calibri" w:hAnsi="Calibri" w:cs="Arial"/>
                <w:i/>
                <w:color w:val="548DD4"/>
                <w:sz w:val="20"/>
                <w:szCs w:val="20"/>
                <w:lang w:eastAsia="es-CL"/>
              </w:rPr>
              <w:t xml:space="preserve">). </w:t>
            </w:r>
          </w:p>
          <w:p w14:paraId="2CA669CB" w14:textId="64E566E2" w:rsidR="00D110EC" w:rsidRPr="0036125D" w:rsidRDefault="0036125D" w:rsidP="00C27FB0">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Esto requiere aplicar directamente las competencias de programación, análisis de datos y gestión tecnológica de la carrera.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97AC06F" w14:textId="0ECB09B4"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Como especialista en Ciencia de Datos (Data </w:t>
            </w:r>
            <w:proofErr w:type="spellStart"/>
            <w:r w:rsidRPr="0036125D">
              <w:rPr>
                <w:rFonts w:ascii="Calibri" w:hAnsi="Calibri" w:cs="Arial"/>
                <w:i/>
                <w:color w:val="548DD4"/>
                <w:sz w:val="20"/>
                <w:szCs w:val="20"/>
                <w:lang w:eastAsia="es-CL"/>
              </w:rPr>
              <w:t>Scientist</w:t>
            </w:r>
            <w:proofErr w:type="spellEnd"/>
            <w:r w:rsidRPr="0036125D">
              <w:rPr>
                <w:rFonts w:ascii="Calibri" w:hAnsi="Calibri" w:cs="Arial"/>
                <w:i/>
                <w:color w:val="548DD4"/>
                <w:sz w:val="20"/>
                <w:szCs w:val="20"/>
                <w:lang w:eastAsia="es-CL"/>
              </w:rPr>
              <w:t xml:space="preserve">) del equipo, el proyecto permite aplicar modelos de Machine </w:t>
            </w:r>
            <w:proofErr w:type="spellStart"/>
            <w:r w:rsidRPr="0036125D">
              <w:rPr>
                <w:rFonts w:ascii="Calibri" w:hAnsi="Calibri" w:cs="Arial"/>
                <w:i/>
                <w:color w:val="548DD4"/>
                <w:sz w:val="20"/>
                <w:szCs w:val="20"/>
                <w:lang w:eastAsia="es-CL"/>
              </w:rPr>
              <w:t>Learning</w:t>
            </w:r>
            <w:proofErr w:type="spellEnd"/>
            <w:r w:rsidRPr="0036125D">
              <w:rPr>
                <w:rFonts w:ascii="Calibri" w:hAnsi="Calibri" w:cs="Arial"/>
                <w:i/>
                <w:color w:val="548DD4"/>
                <w:sz w:val="20"/>
                <w:szCs w:val="20"/>
                <w:lang w:eastAsia="es-CL"/>
              </w:rPr>
              <w:t xml:space="preserve"> (</w:t>
            </w:r>
            <w:proofErr w:type="spellStart"/>
            <w:r w:rsidRPr="0036125D">
              <w:rPr>
                <w:rFonts w:ascii="Calibri" w:hAnsi="Calibri" w:cs="Arial"/>
                <w:i/>
                <w:color w:val="548DD4"/>
                <w:sz w:val="20"/>
                <w:szCs w:val="20"/>
                <w:lang w:eastAsia="es-CL"/>
              </w:rPr>
              <w:t>LightGBM</w:t>
            </w:r>
            <w:proofErr w:type="spellEnd"/>
            <w:r w:rsidRPr="0036125D">
              <w:rPr>
                <w:rFonts w:ascii="Calibri" w:hAnsi="Calibri" w:cs="Arial"/>
                <w:i/>
                <w:color w:val="548DD4"/>
                <w:sz w:val="20"/>
                <w:szCs w:val="20"/>
                <w:lang w:eastAsia="es-CL"/>
              </w:rPr>
              <w:t>/</w:t>
            </w:r>
            <w:proofErr w:type="spellStart"/>
            <w:r w:rsidRPr="0036125D">
              <w:rPr>
                <w:rFonts w:ascii="Calibri" w:hAnsi="Calibri" w:cs="Arial"/>
                <w:i/>
                <w:color w:val="548DD4"/>
                <w:sz w:val="20"/>
                <w:szCs w:val="20"/>
                <w:lang w:eastAsia="es-CL"/>
              </w:rPr>
              <w:t>TensorFlow</w:t>
            </w:r>
            <w:proofErr w:type="spellEnd"/>
            <w:r w:rsidRPr="0036125D">
              <w:rPr>
                <w:rFonts w:ascii="Calibri" w:hAnsi="Calibri" w:cs="Arial"/>
                <w:i/>
                <w:color w:val="548DD4"/>
                <w:sz w:val="20"/>
                <w:szCs w:val="20"/>
                <w:lang w:eastAsia="es-CL"/>
              </w:rPr>
              <w:t xml:space="preserve">) a problemas reales de salud pública. </w:t>
            </w:r>
          </w:p>
          <w:p w14:paraId="64665DAC" w14:textId="111E4258" w:rsidR="00D110EC" w:rsidRPr="0036125D" w:rsidRDefault="0036125D" w:rsidP="009D04DC">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Contribuye al desarrollo profesional al enfrentar el desafío de trabajar con datos gubernamentales fragmentados y traducir predicciones complejas en herramientas visuales útiles.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8CE789B" w14:textId="658C769D"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Es factible porque se utilizarán bases de datos públicas anonimizadas, evitando bloqueos éticos por privacidad. </w:t>
            </w:r>
          </w:p>
          <w:p w14:paraId="73F58AF4" w14:textId="51AA7594"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El trabajo está planificado mediante metodología Kanban en GitHub, cubriendo desde septiembre hasta la entrega final el 26 de noviembre de 2026. </w:t>
            </w:r>
          </w:p>
          <w:p w14:paraId="25C2897A" w14:textId="20120223" w:rsidR="00D110EC"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Una dificultad principal es la extensión y resolución de la serie histórica de datos, lo cual se mitigará estructurando un pipeline de datos inicial sólido y estableciendo un alcance ecológico. </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BCC3C3F" w:rsidR="00D110EC" w:rsidRPr="00711C16" w:rsidRDefault="0036125D" w:rsidP="009D04DC">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Desarrollar una plataforma analítica web que integre fuentes oficiales del DEIS/MINSAL para caracterizar, proyectar y territorializar la presión sobre la red pública de urgencia en salud mental de la Región Metropolitana.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839FE96" w14:textId="357754FC"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Construir un modelo de demanda para proyectar atenciones de urgencia en una ventana de 4 a 8 semanas, evaluado mediante </w:t>
            </w:r>
            <w:proofErr w:type="spellStart"/>
            <w:r w:rsidRPr="0036125D">
              <w:rPr>
                <w:rFonts w:ascii="Calibri" w:hAnsi="Calibri" w:cs="Arial"/>
                <w:i/>
                <w:color w:val="548DD4"/>
                <w:sz w:val="20"/>
                <w:szCs w:val="20"/>
                <w:lang w:eastAsia="es-CL"/>
              </w:rPr>
              <w:t>backtesting</w:t>
            </w:r>
            <w:proofErr w:type="spellEnd"/>
            <w:r w:rsidRPr="0036125D">
              <w:rPr>
                <w:rFonts w:ascii="Calibri" w:hAnsi="Calibri" w:cs="Arial"/>
                <w:i/>
                <w:color w:val="548DD4"/>
                <w:sz w:val="20"/>
                <w:szCs w:val="20"/>
                <w:lang w:eastAsia="es-CL"/>
              </w:rPr>
              <w:t xml:space="preserve">. </w:t>
            </w:r>
          </w:p>
          <w:p w14:paraId="33E88667" w14:textId="0C53CC48"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Calcular la accesibilidad geoespacial de los establecimientos de salud mediante la red vial y transporte público, cruzándola con la vulnerabilidad socioeconómica del territorio. </w:t>
            </w:r>
          </w:p>
          <w:p w14:paraId="7DE4F8FE" w14:textId="6107C021" w:rsidR="00D110EC" w:rsidRPr="00C502A9" w:rsidRDefault="0036125D" w:rsidP="009B74E2">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Analizar los factores clínicos y sociodemográficos relacionados con la duración de las hospitalizaciones psiquiátricas (diagnósticos F00-F99).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4AE455E" w14:textId="77E5A4D3"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Se implementará una metodología ágil basada en un tablero Kanban alojado en GitHub </w:t>
            </w:r>
            <w:proofErr w:type="spellStart"/>
            <w:r w:rsidRPr="0036125D">
              <w:rPr>
                <w:rFonts w:ascii="Calibri" w:hAnsi="Calibri" w:cs="Arial"/>
                <w:i/>
                <w:color w:val="548DD4"/>
                <w:sz w:val="20"/>
                <w:szCs w:val="20"/>
                <w:lang w:eastAsia="es-CL"/>
              </w:rPr>
              <w:t>Projects</w:t>
            </w:r>
            <w:proofErr w:type="spellEnd"/>
            <w:r w:rsidRPr="0036125D">
              <w:rPr>
                <w:rFonts w:ascii="Calibri" w:hAnsi="Calibri" w:cs="Arial"/>
                <w:i/>
                <w:color w:val="548DD4"/>
                <w:sz w:val="20"/>
                <w:szCs w:val="20"/>
                <w:lang w:eastAsia="es-CL"/>
              </w:rPr>
              <w:t xml:space="preserve">. </w:t>
            </w:r>
          </w:p>
          <w:p w14:paraId="7CA7D91F" w14:textId="613C9732"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 xml:space="preserve">Esta metodología permitirá gestionar el backlog de tareas, asignar responsables y controlar versiones continuamente. </w:t>
            </w:r>
          </w:p>
          <w:p w14:paraId="4E418062" w14:textId="5A9E6B2E" w:rsidR="0036125D" w:rsidRPr="0036125D" w:rsidRDefault="0036125D" w:rsidP="0036125D">
            <w:pPr>
              <w:jc w:val="both"/>
              <w:rPr>
                <w:rFonts w:ascii="Calibri" w:hAnsi="Calibri" w:cs="Arial"/>
                <w:i/>
                <w:color w:val="548DD4"/>
                <w:sz w:val="20"/>
                <w:szCs w:val="20"/>
                <w:lang w:eastAsia="es-CL"/>
              </w:rPr>
            </w:pPr>
            <w:r w:rsidRPr="0036125D">
              <w:rPr>
                <w:rFonts w:ascii="Calibri" w:hAnsi="Calibri" w:cs="Arial"/>
                <w:i/>
                <w:color w:val="548DD4"/>
                <w:sz w:val="20"/>
                <w:szCs w:val="20"/>
                <w:lang w:eastAsia="es-CL"/>
              </w:rPr>
              <w:t>Las funciones del equipo están divididas en: Camila A. (</w:t>
            </w:r>
            <w:proofErr w:type="gramStart"/>
            <w:r w:rsidRPr="0036125D">
              <w:rPr>
                <w:rFonts w:ascii="Calibri" w:hAnsi="Calibri" w:cs="Arial"/>
                <w:i/>
                <w:color w:val="548DD4"/>
                <w:sz w:val="20"/>
                <w:szCs w:val="20"/>
                <w:lang w:eastAsia="es-CL"/>
              </w:rPr>
              <w:t>Jefa</w:t>
            </w:r>
            <w:proofErr w:type="gramEnd"/>
            <w:r w:rsidRPr="0036125D">
              <w:rPr>
                <w:rFonts w:ascii="Calibri" w:hAnsi="Calibri" w:cs="Arial"/>
                <w:i/>
                <w:color w:val="548DD4"/>
                <w:sz w:val="20"/>
                <w:szCs w:val="20"/>
                <w:lang w:eastAsia="es-CL"/>
              </w:rPr>
              <w:t xml:space="preserve"> de Proyecto / PM), Felipe R. (Data Engineer), Cristopher R. (Data </w:t>
            </w:r>
            <w:proofErr w:type="spellStart"/>
            <w:r w:rsidRPr="0036125D">
              <w:rPr>
                <w:rFonts w:ascii="Calibri" w:hAnsi="Calibri" w:cs="Arial"/>
                <w:i/>
                <w:color w:val="548DD4"/>
                <w:sz w:val="20"/>
                <w:szCs w:val="20"/>
                <w:lang w:eastAsia="es-CL"/>
              </w:rPr>
              <w:t>Scientist</w:t>
            </w:r>
            <w:proofErr w:type="spellEnd"/>
            <w:r w:rsidRPr="0036125D">
              <w:rPr>
                <w:rFonts w:ascii="Calibri" w:hAnsi="Calibri" w:cs="Arial"/>
                <w:i/>
                <w:color w:val="548DD4"/>
                <w:sz w:val="20"/>
                <w:szCs w:val="20"/>
                <w:lang w:eastAsia="es-CL"/>
              </w:rPr>
              <w:t xml:space="preserve">), y Catalina (Full Stack / Geoespacial). </w:t>
            </w:r>
          </w:p>
          <w:p w14:paraId="44C1301F" w14:textId="6DA95852"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36D20E4" w:rsidR="00D110EC" w:rsidRPr="00CA29F2" w:rsidRDefault="0036125D" w:rsidP="00C27FB0">
            <w:pPr>
              <w:pStyle w:val="Piedepgina"/>
              <w:jc w:val="both"/>
              <w:rPr>
                <w:rFonts w:ascii="Calibri" w:hAnsi="Calibri"/>
                <w:b/>
                <w:color w:val="1F3864" w:themeColor="accent1" w:themeShade="80"/>
              </w:rPr>
            </w:pPr>
            <w:r w:rsidRPr="0036125D">
              <w:rPr>
                <w:rFonts w:ascii="Calibri" w:hAnsi="Calibri"/>
                <w:b/>
                <w:bCs/>
                <w:color w:val="1F3864" w:themeColor="accent1" w:themeShade="80"/>
              </w:rPr>
              <w:t>Avance</w:t>
            </w:r>
            <w:r w:rsidRPr="0036125D">
              <w:rPr>
                <w:rFonts w:ascii="Calibri" w:hAnsi="Calibri"/>
                <w:b/>
                <w:color w:val="1F3864" w:themeColor="accent1" w:themeShade="80"/>
              </w:rPr>
              <w:t xml:space="preserve"> (Fase 2.1)</w:t>
            </w:r>
          </w:p>
        </w:tc>
        <w:tc>
          <w:tcPr>
            <w:tcW w:w="1843" w:type="dxa"/>
          </w:tcPr>
          <w:p w14:paraId="78962567" w14:textId="602FF336" w:rsidR="00D110EC" w:rsidRPr="00CA29F2" w:rsidRDefault="0036125D" w:rsidP="00C27FB0">
            <w:pPr>
              <w:pStyle w:val="Piedepgina"/>
              <w:jc w:val="both"/>
              <w:rPr>
                <w:rFonts w:ascii="Calibri" w:hAnsi="Calibri"/>
                <w:b/>
                <w:color w:val="1F3864" w:themeColor="accent1" w:themeShade="80"/>
              </w:rPr>
            </w:pPr>
            <w:r w:rsidRPr="0036125D">
              <w:rPr>
                <w:rFonts w:ascii="Calibri" w:hAnsi="Calibri"/>
                <w:b/>
                <w:color w:val="1F3864" w:themeColor="accent1" w:themeShade="80"/>
              </w:rPr>
              <w:t>Reporte de Avance y Prototipo Inicial</w:t>
            </w:r>
          </w:p>
        </w:tc>
        <w:tc>
          <w:tcPr>
            <w:tcW w:w="3825" w:type="dxa"/>
          </w:tcPr>
          <w:p w14:paraId="35743F97" w14:textId="77777777" w:rsidR="0036125D" w:rsidRPr="0036125D" w:rsidRDefault="0036125D" w:rsidP="0036125D">
            <w:pPr>
              <w:jc w:val="both"/>
              <w:rPr>
                <w:rFonts w:ascii="Calibri" w:hAnsi="Calibri" w:cs="Arial"/>
                <w:i/>
                <w:color w:val="4472C4" w:themeColor="accent1"/>
                <w:sz w:val="18"/>
                <w:szCs w:val="20"/>
                <w:lang w:eastAsia="es-CL"/>
              </w:rPr>
            </w:pPr>
            <w:r w:rsidRPr="0036125D">
              <w:rPr>
                <w:rFonts w:ascii="Calibri" w:hAnsi="Calibri" w:cs="Arial"/>
                <w:i/>
                <w:color w:val="4472C4" w:themeColor="accent1"/>
                <w:sz w:val="18"/>
                <w:szCs w:val="20"/>
                <w:lang w:eastAsia="es-CL"/>
              </w:rPr>
              <w:t xml:space="preserve">Documentación técnica con la auditoría de los datos del DEIS y </w:t>
            </w:r>
            <w:proofErr w:type="spellStart"/>
            <w:r w:rsidRPr="0036125D">
              <w:rPr>
                <w:rFonts w:ascii="Calibri" w:hAnsi="Calibri" w:cs="Arial"/>
                <w:i/>
                <w:color w:val="4472C4" w:themeColor="accent1"/>
                <w:sz w:val="18"/>
                <w:szCs w:val="20"/>
                <w:lang w:eastAsia="es-CL"/>
              </w:rPr>
              <w:t>wireframes</w:t>
            </w:r>
            <w:proofErr w:type="spellEnd"/>
            <w:r w:rsidRPr="0036125D">
              <w:rPr>
                <w:rFonts w:ascii="Calibri" w:hAnsi="Calibri" w:cs="Arial"/>
                <w:i/>
                <w:color w:val="4472C4" w:themeColor="accent1"/>
                <w:sz w:val="18"/>
                <w:szCs w:val="20"/>
                <w:lang w:eastAsia="es-CL"/>
              </w:rPr>
              <w:t xml:space="preserve"> del flujo básico de navegación. </w:t>
            </w:r>
          </w:p>
          <w:p w14:paraId="3325CDF7" w14:textId="3573C5B3" w:rsidR="00D110EC" w:rsidRPr="00874D16" w:rsidRDefault="00D110EC" w:rsidP="00C27FB0">
            <w:pPr>
              <w:jc w:val="both"/>
              <w:rPr>
                <w:rFonts w:ascii="Calibri" w:hAnsi="Calibri" w:cs="Arial"/>
                <w:i/>
                <w:color w:val="4472C4" w:themeColor="accent1"/>
                <w:sz w:val="18"/>
                <w:szCs w:val="20"/>
                <w:lang w:eastAsia="es-CL"/>
              </w:rPr>
            </w:pPr>
          </w:p>
        </w:tc>
        <w:tc>
          <w:tcPr>
            <w:tcW w:w="2551" w:type="dxa"/>
          </w:tcPr>
          <w:p w14:paraId="4C5B45C9" w14:textId="1E6016DF" w:rsidR="00D110EC" w:rsidRPr="00CA29F2" w:rsidRDefault="0036125D" w:rsidP="00C27FB0">
            <w:pPr>
              <w:pStyle w:val="Piedepgina"/>
              <w:jc w:val="both"/>
              <w:rPr>
                <w:rFonts w:ascii="Calibri" w:hAnsi="Calibri"/>
                <w:b/>
                <w:color w:val="1F3864" w:themeColor="accent1" w:themeShade="80"/>
              </w:rPr>
            </w:pPr>
            <w:r w:rsidRPr="0036125D">
              <w:rPr>
                <w:rFonts w:ascii="Calibri" w:hAnsi="Calibri"/>
                <w:b/>
                <w:color w:val="1F3864" w:themeColor="accent1" w:themeShade="80"/>
              </w:rPr>
              <w:t>Permite validar que las fuentes de datos son utilizables y que el diseño de la solución responde a la problemática antes de la codificación final.</w:t>
            </w:r>
          </w:p>
        </w:tc>
      </w:tr>
      <w:tr w:rsidR="00D110EC" w:rsidRPr="00CA29F2" w14:paraId="76C9D9C6" w14:textId="77777777" w:rsidTr="009D04DC">
        <w:trPr>
          <w:trHeight w:val="362"/>
        </w:trPr>
        <w:tc>
          <w:tcPr>
            <w:tcW w:w="1843" w:type="dxa"/>
          </w:tcPr>
          <w:p w14:paraId="2BC6A800" w14:textId="41DEE8C7" w:rsidR="00D110EC" w:rsidRPr="00CA29F2" w:rsidRDefault="0036125D" w:rsidP="0036125D">
            <w:pPr>
              <w:pStyle w:val="Piedepgina"/>
              <w:jc w:val="center"/>
              <w:rPr>
                <w:rFonts w:ascii="Calibri" w:hAnsi="Calibri"/>
                <w:b/>
                <w:color w:val="1F3864" w:themeColor="accent1" w:themeShade="80"/>
              </w:rPr>
            </w:pPr>
            <w:r w:rsidRPr="0036125D">
              <w:rPr>
                <w:rFonts w:ascii="Calibri" w:hAnsi="Calibri"/>
                <w:b/>
                <w:bCs/>
                <w:color w:val="1F3864" w:themeColor="accent1" w:themeShade="80"/>
              </w:rPr>
              <w:t>Final</w:t>
            </w:r>
            <w:r w:rsidRPr="0036125D">
              <w:rPr>
                <w:rFonts w:ascii="Calibri" w:hAnsi="Calibri"/>
                <w:b/>
                <w:color w:val="1F3864" w:themeColor="accent1" w:themeShade="80"/>
              </w:rPr>
              <w:t xml:space="preserve"> (Fase 2.3)</w:t>
            </w:r>
          </w:p>
        </w:tc>
        <w:tc>
          <w:tcPr>
            <w:tcW w:w="1843" w:type="dxa"/>
          </w:tcPr>
          <w:p w14:paraId="7F27CF07" w14:textId="680923FE" w:rsidR="00D110EC" w:rsidRPr="00CA29F2" w:rsidRDefault="0036125D" w:rsidP="00C27FB0">
            <w:pPr>
              <w:pStyle w:val="Piedepgina"/>
              <w:jc w:val="both"/>
              <w:rPr>
                <w:rFonts w:ascii="Calibri" w:hAnsi="Calibri"/>
                <w:b/>
                <w:color w:val="1F3864" w:themeColor="accent1" w:themeShade="80"/>
              </w:rPr>
            </w:pPr>
            <w:r w:rsidRPr="0036125D">
              <w:rPr>
                <w:rFonts w:ascii="Calibri" w:hAnsi="Calibri"/>
                <w:b/>
                <w:color w:val="1F3864" w:themeColor="accent1" w:themeShade="80"/>
              </w:rPr>
              <w:t>Plataforma Web SAAD y Documentación Final</w:t>
            </w:r>
          </w:p>
        </w:tc>
        <w:tc>
          <w:tcPr>
            <w:tcW w:w="3825" w:type="dxa"/>
          </w:tcPr>
          <w:p w14:paraId="1505BCE2" w14:textId="77777777" w:rsidR="0036125D" w:rsidRPr="0036125D" w:rsidRDefault="0036125D" w:rsidP="0036125D">
            <w:pPr>
              <w:pStyle w:val="Piedepgina"/>
              <w:jc w:val="both"/>
              <w:rPr>
                <w:rFonts w:ascii="Calibri" w:hAnsi="Calibri"/>
                <w:b/>
                <w:color w:val="1F3864" w:themeColor="accent1" w:themeShade="80"/>
              </w:rPr>
            </w:pPr>
            <w:r w:rsidRPr="0036125D">
              <w:rPr>
                <w:rFonts w:ascii="Calibri" w:hAnsi="Calibri"/>
                <w:b/>
                <w:color w:val="1F3864" w:themeColor="accent1" w:themeShade="80"/>
              </w:rPr>
              <w:t xml:space="preserve">Despliegue funcional de la plataforma integrando los tres componentes analíticos solicitados. </w:t>
            </w:r>
          </w:p>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34417010" w:rsidR="00D110EC" w:rsidRPr="00CA29F2" w:rsidRDefault="0036125D" w:rsidP="00C27FB0">
            <w:pPr>
              <w:pStyle w:val="Piedepgina"/>
              <w:jc w:val="both"/>
              <w:rPr>
                <w:rFonts w:ascii="Calibri" w:hAnsi="Calibri"/>
                <w:b/>
                <w:color w:val="1F3864" w:themeColor="accent1" w:themeShade="80"/>
              </w:rPr>
            </w:pPr>
            <w:r w:rsidRPr="0036125D">
              <w:rPr>
                <w:rFonts w:ascii="Calibri" w:hAnsi="Calibri"/>
                <w:b/>
                <w:color w:val="1F3864" w:themeColor="accent1" w:themeShade="80"/>
              </w:rPr>
              <w:t>Corresponde al producto de software terminado que será evaluado por la comisión final en diciembre.</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 xml:space="preserve">presentar durante la ejecución de cada una de las actividades propuestas para </w:t>
            </w:r>
            <w:r w:rsidRPr="00A337B2">
              <w:rPr>
                <w:rFonts w:ascii="Calibri" w:hAnsi="Calibri" w:cs="Arial"/>
                <w:i/>
                <w:color w:val="548DD4"/>
                <w:sz w:val="18"/>
                <w:szCs w:val="20"/>
                <w:lang w:eastAsia="es-CL"/>
              </w:rPr>
              <w:lastRenderedPageBreak/>
              <w:t>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Pr="0036125D" w:rsidRDefault="00D110EC">
      <w:pPr>
        <w:rPr>
          <w:u w:val="single"/>
        </w:rPr>
      </w:pPr>
    </w:p>
    <w:sectPr w:rsidR="00D110EC" w:rsidRPr="0036125D">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0B8D" w14:textId="77777777" w:rsidR="00AF2CE8" w:rsidRDefault="00AF2CE8" w:rsidP="00D110EC">
      <w:pPr>
        <w:spacing w:after="0" w:line="240" w:lineRule="auto"/>
      </w:pPr>
      <w:r>
        <w:separator/>
      </w:r>
    </w:p>
  </w:endnote>
  <w:endnote w:type="continuationSeparator" w:id="0">
    <w:p w14:paraId="004BDF47" w14:textId="77777777" w:rsidR="00AF2CE8" w:rsidRDefault="00AF2CE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B1B4F" w14:textId="77777777" w:rsidR="00AF2CE8" w:rsidRDefault="00AF2CE8" w:rsidP="00D110EC">
      <w:pPr>
        <w:spacing w:after="0" w:line="240" w:lineRule="auto"/>
      </w:pPr>
      <w:r>
        <w:separator/>
      </w:r>
    </w:p>
  </w:footnote>
  <w:footnote w:type="continuationSeparator" w:id="0">
    <w:p w14:paraId="1DEFBEEE" w14:textId="77777777" w:rsidR="00AF2CE8" w:rsidRDefault="00AF2CE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0471946">
    <w:abstractNumId w:val="2"/>
  </w:num>
  <w:num w:numId="2" w16cid:durableId="218785135">
    <w:abstractNumId w:val="3"/>
  </w:num>
  <w:num w:numId="3" w16cid:durableId="350036325">
    <w:abstractNumId w:val="0"/>
  </w:num>
  <w:num w:numId="4" w16cid:durableId="587152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6125D"/>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A4CD9"/>
    <w:rsid w:val="009B74E2"/>
    <w:rsid w:val="009D04DC"/>
    <w:rsid w:val="00A06D2A"/>
    <w:rsid w:val="00A8774B"/>
    <w:rsid w:val="00AB3382"/>
    <w:rsid w:val="00AE4746"/>
    <w:rsid w:val="00AF2CE8"/>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1168</Words>
  <Characters>6426</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Cristopher Rojas</cp:lastModifiedBy>
  <cp:revision>8</cp:revision>
  <dcterms:created xsi:type="dcterms:W3CDTF">2022-08-24T18:07:00Z</dcterms:created>
  <dcterms:modified xsi:type="dcterms:W3CDTF">2026-08-29T15:44:00Z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