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60"/>
      </w:pPr>
    </w:p>
    <w:p>
      <w:pPr>
        <w:jc w:val="center"/>
      </w:pPr>
      <w:r>
        <w:rPr>
          <w:b/>
          <w:color w:val="595959"/>
          <w:sz w:val="22"/>
        </w:rPr>
        <w:t>CAPSTONE APT · INGENIERÍA EN INFORMÁTICA · DUOC UC ANTONIO VARAS</w:t>
      </w:r>
    </w:p>
    <w:p>
      <w:pPr>
        <w:spacing w:before="360"/>
        <w:jc w:val="center"/>
      </w:pPr>
      <w:r>
        <w:rPr>
          <w:b/>
          <w:color w:val="1F3B63"/>
          <w:sz w:val="48"/>
        </w:rPr>
        <w:t>Especificación de Requisitos No Funcionales</w:t>
      </w:r>
    </w:p>
    <w:p>
      <w:pPr>
        <w:spacing w:after="720"/>
        <w:jc w:val="center"/>
      </w:pPr>
      <w:r>
        <w:rPr>
          <w:color w:val="2E5E8C"/>
          <w:sz w:val="24"/>
        </w:rPr>
        <w:t>SAAD — Sistema de Análisis y Anticipación de Demanda de Urgencia en Salud Mental para la Región Metropolitana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7200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Código del documento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20"/>
              </w:rPr>
              <w:t>ERNF-SAAD-2026</w:t>
            </w:r>
          </w:p>
        </w:tc>
      </w:tr>
      <w:tr>
        <w:tc>
          <w:tcPr>
            <w:tcW w:type="dxa" w:w="2835"/>
            <w:shd w:val="clear" w:color="auto" w:fill="EAF0F6"/>
          </w:tcPr>
          <w:p>
            <w:pPr>
              <w:spacing w:before="40" w:after="40"/>
            </w:pPr>
            <w:r>
              <w:rPr>
                <w:sz w:val="20"/>
              </w:rPr>
              <w:t>Versión</w:t>
            </w:r>
          </w:p>
        </w:tc>
        <w:tc>
          <w:tcPr>
            <w:tcW w:type="dxa" w:w="7200"/>
            <w:shd w:val="clear" w:color="auto" w:fill="EAF0F6"/>
          </w:tcPr>
          <w:p>
            <w:pPr>
              <w:spacing w:before="40" w:after="40"/>
            </w:pP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Fecha de emisión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20"/>
              </w:rPr>
              <w:t>10 de septiembre de 2026</w:t>
            </w:r>
          </w:p>
        </w:tc>
      </w:tr>
      <w:tr>
        <w:tc>
          <w:tcPr>
            <w:tcW w:type="dxa" w:w="2835"/>
            <w:shd w:val="clear" w:color="auto" w:fill="EAF0F6"/>
          </w:tcPr>
          <w:p>
            <w:pPr>
              <w:spacing w:before="40" w:after="40"/>
            </w:pPr>
            <w:r>
              <w:rPr>
                <w:sz w:val="20"/>
              </w:rPr>
              <w:t>Estado</w:t>
            </w:r>
          </w:p>
        </w:tc>
        <w:tc>
          <w:tcPr>
            <w:tcW w:type="dxa" w:w="7200"/>
            <w:shd w:val="clear" w:color="auto" w:fill="EAF0F6"/>
          </w:tcPr>
          <w:p>
            <w:pPr>
              <w:spacing w:before="40" w:after="40"/>
            </w:pPr>
            <w:r>
              <w:rPr>
                <w:sz w:val="20"/>
              </w:rPr>
              <w:t>Borrador para validación con la docente y el cliente piloto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Clasificación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20"/>
              </w:rPr>
              <w:t>Uso académico e interno del equipo de proyecto</w:t>
            </w:r>
          </w:p>
        </w:tc>
      </w:tr>
      <w:tr>
        <w:tc>
          <w:tcPr>
            <w:tcW w:type="dxa" w:w="2835"/>
            <w:shd w:val="clear" w:color="auto" w:fill="EAF0F6"/>
          </w:tcPr>
          <w:p>
            <w:pPr>
              <w:spacing w:before="40" w:after="40"/>
            </w:pPr>
            <w:r>
              <w:rPr>
                <w:sz w:val="20"/>
              </w:rPr>
              <w:t>Marco de referencia</w:t>
            </w:r>
          </w:p>
        </w:tc>
        <w:tc>
          <w:tcPr>
            <w:tcW w:type="dxa" w:w="7200"/>
            <w:shd w:val="clear" w:color="auto" w:fill="EAF0F6"/>
          </w:tcPr>
          <w:p>
            <w:pPr>
              <w:spacing w:before="40" w:after="40"/>
            </w:pPr>
            <w:r>
              <w:rPr>
                <w:sz w:val="20"/>
              </w:rPr>
              <w:t>ISO/IEC 25010 (calidad de producto); ISO/IEC 25012 (calidad de datos); ISO/IEC/IEEE 29148:2018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Elaborado por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20"/>
              </w:rPr>
              <w:t>Equipo SAAD — Camila A., Felipe R., Cristopher R., Catalina</w:t>
            </w:r>
          </w:p>
        </w:tc>
      </w:tr>
      <w:tr>
        <w:tc>
          <w:tcPr>
            <w:tcW w:type="dxa" w:w="2835"/>
            <w:shd w:val="clear" w:color="auto" w:fill="EAF0F6"/>
          </w:tcPr>
          <w:p>
            <w:pPr>
              <w:spacing w:before="40" w:after="40"/>
            </w:pPr>
            <w:r>
              <w:rPr>
                <w:sz w:val="20"/>
              </w:rPr>
              <w:t>Documento complementario</w:t>
            </w:r>
          </w:p>
        </w:tc>
        <w:tc>
          <w:tcPr>
            <w:tcW w:type="dxa" w:w="7200"/>
            <w:shd w:val="clear" w:color="auto" w:fill="EAF0F6"/>
          </w:tcPr>
          <w:p>
            <w:pPr>
              <w:spacing w:before="40" w:after="40"/>
            </w:pPr>
            <w:r>
              <w:rPr>
                <w:sz w:val="20"/>
              </w:rPr>
              <w:t>Especificación de Requisitos Funcionales (ERF-SAAD-2026)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20"/>
              </w:rPr>
              <w:t>Repositorio</w:t>
            </w:r>
          </w:p>
        </w:tc>
        <w:tc>
          <w:tcPr>
            <w:tcW w:type="dxa" w:w="7200"/>
          </w:tcPr>
          <w:p>
            <w:pPr>
              <w:spacing w:before="40" w:after="40"/>
            </w:pPr>
            <w:r>
              <w:rPr>
                <w:sz w:val="20"/>
              </w:rPr>
              <w:t>docs/06-requisitos/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Control del documento</w:t>
      </w:r>
    </w:p>
    <w:p>
      <w:pPr>
        <w:pStyle w:val="Heading2"/>
      </w:pPr>
      <w:r>
        <w:t>Historial de versiones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134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474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Autor(es)</w:t>
            </w:r>
          </w:p>
        </w:tc>
        <w:tc>
          <w:tcPr>
            <w:tcW w:type="dxa" w:w="5386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Descripción del cambio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0.1</w:t>
            </w:r>
          </w:p>
        </w:tc>
        <w:tc>
          <w:tcPr>
            <w:tcW w:type="dxa" w:w="1474"/>
          </w:tcPr>
          <w:p>
            <w:pPr>
              <w:spacing w:before="40" w:after="40"/>
            </w:pPr>
            <w:r>
              <w:rPr>
                <w:sz w:val="19"/>
              </w:rPr>
              <w:t>27-08-2026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9"/>
              </w:rPr>
              <w:t>Equipo SAAD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>
              <w:rPr>
                <w:sz w:val="19"/>
              </w:rPr>
              <w:t>Listado preliminar de atributos de calidad derivados de la definición de alcance.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type="dxa" w:w="1474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10-09-2026</w:t>
            </w:r>
          </w:p>
        </w:tc>
        <w:tc>
          <w:tcPr>
            <w:tcW w:type="dxa" w:w="2041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Equipo SAAD</w:t>
            </w:r>
          </w:p>
        </w:tc>
        <w:tc>
          <w:tcPr>
            <w:tcW w:type="dxa" w:w="5386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Primera versión formal completa: catálogo de requisitos no funcionales cuantificados sobre ISO/IEC 25010, calidad de datos ISO/IEC 25012, restricciones, matriz de verificación y trazabilidad.</w:t>
            </w:r>
          </w:p>
        </w:tc>
      </w:tr>
    </w:tbl>
    <w:p>
      <w:pPr>
        <w:spacing w:after="80"/>
      </w:pPr>
    </w:p>
    <w:p>
      <w:pPr>
        <w:pStyle w:val="Heading2"/>
      </w:pPr>
      <w:r>
        <w:t>Revisión y aprobación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51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2835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2948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Fecha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Jefa de Proyecto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Camila A.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9"/>
              </w:rPr>
              <w:t>Emitido para revisión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10-09-2026</w:t>
            </w:r>
          </w:p>
        </w:tc>
      </w:tr>
      <w:tr>
        <w:tc>
          <w:tcPr>
            <w:tcW w:type="dxa" w:w="2551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Docente guía</w:t>
            </w:r>
          </w:p>
        </w:tc>
        <w:tc>
          <w:tcPr>
            <w:tcW w:type="dxa" w:w="2835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Por confirmar</w:t>
            </w:r>
          </w:p>
        </w:tc>
        <w:tc>
          <w:tcPr>
            <w:tcW w:type="dxa" w:w="2948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Pendiente de validación</w:t>
            </w:r>
          </w:p>
        </w:tc>
        <w:tc>
          <w:tcPr>
            <w:tcW w:type="dxa" w:w="1701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Cliente piloto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Por confirmar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9"/>
              </w:rPr>
              <w:t>Pendiente de validación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FF4E5"/>
          </w:tcPr>
          <w:p>
            <w:pPr>
              <w:spacing w:before="80" w:after="80"/>
            </w:pPr>
            <w:r>
              <w:rPr>
                <w:b/>
                <w:sz w:val="20"/>
              </w:rPr>
              <w:t>Nota sobre los valores objetivo.</w:t>
            </w:r>
            <w:r>
              <w:rPr>
                <w:sz w:val="20"/>
              </w:rPr>
              <w:t xml:space="preserve"> Las metas cuantitativas de este documento se fijan sobre el entorno de referencia declarado en la sección 3 y corresponden a un producto mínimo viable de contexto académico. Cualquier medición realizada en un entorno distinto debe declarar esa diferencia antes de comparar resultados.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0"/>
      </w:pPr>
      <w:r>
        <w:t>Tabla de contenidos</w:t>
      </w:r>
    </w:p>
    <w:p>
      <w:r>
        <w:fldChar w:fldCharType="begin"/>
        <w:instrText xml:space="preserve"> TOC \o "1-2" \h \z \u </w:instrText>
        <w:fldChar w:fldCharType="separate"/>
        <w:fldChar w:fldCharType="end"/>
      </w:r>
    </w:p>
    <w:p>
      <w:r>
        <w:rPr>
          <w:i/>
          <w:color w:val="595959"/>
          <w:sz w:val="17"/>
        </w:rPr>
        <w:t>Si el índice no se muestra actualizado, seleccionarlo y presionar F9 en Microsoft Word.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Propósito</w:t>
      </w:r>
    </w:p>
    <w:p>
      <w:pPr>
        <w:jc w:val="both"/>
      </w:pPr>
      <w:r>
        <w:rPr>
          <w:sz w:val="21"/>
        </w:rPr>
        <w:t xml:space="preserve">Este documento especifica </w:t>
      </w:r>
      <w:r>
        <w:rPr>
          <w:b/>
          <w:sz w:val="21"/>
        </w:rPr>
        <w:t>cómo debe comportarse</w:t>
      </w:r>
      <w:r>
        <w:rPr>
          <w:sz w:val="21"/>
        </w:rPr>
        <w:t xml:space="preserve"> el sistema SAAD: los atributos de calidad, restricciones y condiciones de operación que debe satisfacer, expresados de forma medible y verificable. Complementa a la </w:t>
      </w:r>
      <w:r>
        <w:rPr>
          <w:b/>
          <w:sz w:val="21"/>
        </w:rPr>
        <w:t>Especificación de Requisitos Funcionales (ERF-SAAD-2026)</w:t>
      </w:r>
      <w:r>
        <w:rPr>
          <w:sz w:val="21"/>
        </w:rPr>
        <w:t>, que define las capacidades del sistema.</w:t>
      </w:r>
    </w:p>
    <w:p>
      <w:pPr>
        <w:pStyle w:val="Heading2"/>
      </w:pPr>
      <w:r>
        <w:t>1.2 Alcance</w:t>
      </w:r>
    </w:p>
    <w:p>
      <w:pPr>
        <w:jc w:val="both"/>
      </w:pPr>
      <w:r>
        <w:rPr>
          <w:sz w:val="21"/>
        </w:rPr>
        <w:t>Los requisitos aquí definidos aplican a la totalidad del sistema: pipeline de datos, modelos analíticos, API, aplicación web, documentación y proceso de desarrollo. Cuando un requisito aplica solo a un componente, se indica explícitamente en su enunciado.</w:t>
      </w:r>
    </w:p>
    <w:p>
      <w:pPr>
        <w:pStyle w:val="Heading2"/>
      </w:pPr>
      <w:r>
        <w:t>1.3 Audiencia</w:t>
      </w:r>
    </w:p>
    <w:p>
      <w:pPr>
        <w:pStyle w:val="ListBullet"/>
        <w:spacing w:after="60"/>
      </w:pPr>
      <w:r>
        <w:rPr>
          <w:b/>
          <w:sz w:val="21"/>
        </w:rPr>
        <w:t>Equipo de desarrollo:</w:t>
      </w:r>
      <w:r>
        <w:rPr>
          <w:sz w:val="21"/>
        </w:rPr>
        <w:t xml:space="preserve"> define los criterios técnicos que condicionan el diseño y la implementación.</w:t>
      </w:r>
    </w:p>
    <w:p>
      <w:pPr>
        <w:pStyle w:val="ListBullet"/>
        <w:spacing w:after="60"/>
      </w:pPr>
      <w:r>
        <w:rPr>
          <w:b/>
          <w:sz w:val="21"/>
        </w:rPr>
        <w:t>Docente guía y comisión evaluadora:</w:t>
      </w:r>
      <w:r>
        <w:rPr>
          <w:sz w:val="21"/>
        </w:rPr>
        <w:t xml:space="preserve"> entrega criterios objetivos de evaluación del producto.</w:t>
      </w:r>
    </w:p>
    <w:p>
      <w:pPr>
        <w:pStyle w:val="ListBullet"/>
        <w:spacing w:after="60"/>
      </w:pPr>
      <w:r>
        <w:rPr>
          <w:b/>
          <w:sz w:val="21"/>
        </w:rPr>
        <w:t>Cliente piloto y usuarios validadores:</w:t>
      </w:r>
      <w:r>
        <w:rPr>
          <w:sz w:val="21"/>
        </w:rPr>
        <w:t xml:space="preserve"> explicita el nivel de servicio, la accesibilidad y las salvaguardas de uso responsable comprometidas.</w:t>
      </w:r>
    </w:p>
    <w:p>
      <w:pPr>
        <w:pStyle w:val="Heading2"/>
      </w:pPr>
      <w:r>
        <w:t>1.4 Referencias normativas y técnicas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361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8674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Referencia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>
              <w:rPr>
                <w:b/>
                <w:sz w:val="19"/>
              </w:rPr>
              <w:t>NOR-01</w:t>
            </w:r>
          </w:p>
        </w:tc>
        <w:tc>
          <w:tcPr>
            <w:tcW w:type="dxa" w:w="8674"/>
          </w:tcPr>
          <w:p>
            <w:pPr>
              <w:spacing w:before="40" w:after="40"/>
            </w:pPr>
            <w:r>
              <w:rPr>
                <w:sz w:val="19"/>
              </w:rPr>
              <w:t>ISO/IEC 25010 — Modelo de calidad del producto software y de sistemas.</w:t>
            </w:r>
          </w:p>
        </w:tc>
      </w:tr>
      <w:tr>
        <w:tc>
          <w:tcPr>
            <w:tcW w:type="dxa" w:w="1361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9"/>
              </w:rPr>
              <w:t>NOR-02</w:t>
            </w:r>
          </w:p>
        </w:tc>
        <w:tc>
          <w:tcPr>
            <w:tcW w:type="dxa" w:w="8674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ISO/IEC 25012 — Modelo de calidad de datos.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>
              <w:rPr>
                <w:b/>
                <w:sz w:val="19"/>
              </w:rPr>
              <w:t>NOR-03</w:t>
            </w:r>
          </w:p>
        </w:tc>
        <w:tc>
          <w:tcPr>
            <w:tcW w:type="dxa" w:w="8674"/>
          </w:tcPr>
          <w:p>
            <w:pPr>
              <w:spacing w:before="40" w:after="40"/>
            </w:pPr>
            <w:r>
              <w:rPr>
                <w:sz w:val="19"/>
              </w:rPr>
              <w:t>ISO/IEC/IEEE 29148:2018 — Ingeniería de requisitos y métodos de verificación.</w:t>
            </w:r>
          </w:p>
        </w:tc>
      </w:tr>
      <w:tr>
        <w:tc>
          <w:tcPr>
            <w:tcW w:type="dxa" w:w="1361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9"/>
              </w:rPr>
              <w:t>NOR-04</w:t>
            </w:r>
          </w:p>
        </w:tc>
        <w:tc>
          <w:tcPr>
            <w:tcW w:type="dxa" w:w="8674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W3C WCAG 2.1, nivel AA — Pautas de accesibilidad para el contenido web.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>
              <w:rPr>
                <w:b/>
                <w:sz w:val="19"/>
              </w:rPr>
              <w:t>NOR-05</w:t>
            </w:r>
          </w:p>
        </w:tc>
        <w:tc>
          <w:tcPr>
            <w:tcW w:type="dxa" w:w="8674"/>
          </w:tcPr>
          <w:p>
            <w:pPr>
              <w:spacing w:before="40" w:after="40"/>
            </w:pPr>
            <w:r>
              <w:rPr>
                <w:sz w:val="19"/>
              </w:rPr>
              <w:t>OWASP Top 10 — Riesgos de seguridad más críticos en aplicaciones web.</w:t>
            </w:r>
          </w:p>
        </w:tc>
      </w:tr>
      <w:tr>
        <w:tc>
          <w:tcPr>
            <w:tcW w:type="dxa" w:w="1361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9"/>
              </w:rPr>
              <w:t>NOR-06</w:t>
            </w:r>
          </w:p>
        </w:tc>
        <w:tc>
          <w:tcPr>
            <w:tcW w:type="dxa" w:w="8674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OpenAPI Specification 3.x — Descripción de interfaces REST.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>
              <w:rPr>
                <w:b/>
                <w:sz w:val="19"/>
              </w:rPr>
              <w:t>NOR-07</w:t>
            </w:r>
          </w:p>
        </w:tc>
        <w:tc>
          <w:tcPr>
            <w:tcW w:type="dxa" w:w="8674"/>
          </w:tcPr>
          <w:p>
            <w:pPr>
              <w:spacing w:before="40" w:after="40"/>
            </w:pPr>
            <w:r>
              <w:rPr>
                <w:sz w:val="19"/>
              </w:rPr>
              <w:t>RFC 7946 (GeoJSON) y estándar OGC GeoPackage — Intercambio geoespacial.</w:t>
            </w:r>
          </w:p>
        </w:tc>
      </w:tr>
      <w:tr>
        <w:tc>
          <w:tcPr>
            <w:tcW w:type="dxa" w:w="1361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9"/>
              </w:rPr>
              <w:t>NOR-08</w:t>
            </w:r>
          </w:p>
        </w:tc>
        <w:tc>
          <w:tcPr>
            <w:tcW w:type="dxa" w:w="8674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PEP 8 y PEP 484 — Estilo y anotaciones de tipo en Python.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>
              <w:rPr>
                <w:b/>
                <w:sz w:val="19"/>
              </w:rPr>
              <w:t>NOR-09</w:t>
            </w:r>
          </w:p>
        </w:tc>
        <w:tc>
          <w:tcPr>
            <w:tcW w:type="dxa" w:w="8674"/>
          </w:tcPr>
          <w:p>
            <w:pPr>
              <w:spacing w:before="40" w:after="40"/>
            </w:pPr>
            <w:r>
              <w:rPr>
                <w:sz w:val="19"/>
              </w:rPr>
              <w:t>Semantic Versioning 2.0.0 y Conventional Commits — Versionado y trazabilidad de cambios.</w:t>
            </w:r>
          </w:p>
        </w:tc>
      </w:tr>
      <w:tr>
        <w:tc>
          <w:tcPr>
            <w:tcW w:type="dxa" w:w="1361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9"/>
              </w:rPr>
              <w:t>DEF-01</w:t>
            </w:r>
          </w:p>
        </w:tc>
        <w:tc>
          <w:tcPr>
            <w:tcW w:type="dxa" w:w="8674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Documento de Definición de Proyecto APT — Fase 1.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>
              <w:rPr>
                <w:b/>
                <w:sz w:val="19"/>
              </w:rPr>
              <w:t>BIT-01</w:t>
            </w:r>
          </w:p>
        </w:tc>
        <w:tc>
          <w:tcPr>
            <w:tcW w:type="dxa" w:w="8674"/>
          </w:tcPr>
          <w:p>
            <w:pPr>
              <w:spacing w:before="40" w:after="40"/>
            </w:pPr>
            <w:r>
              <w:rPr>
                <w:sz w:val="19"/>
              </w:rPr>
              <w:t>Bitácora de reunión de definición y alcance, 23-08-2026.</w:t>
            </w:r>
          </w:p>
        </w:tc>
      </w:tr>
      <w:tr>
        <w:tc>
          <w:tcPr>
            <w:tcW w:type="dxa" w:w="1361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9"/>
              </w:rPr>
              <w:t>REG-01</w:t>
            </w:r>
          </w:p>
        </w:tc>
        <w:tc>
          <w:tcPr>
            <w:tcW w:type="dxa" w:w="8674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Reglas de rigor analítico, portabilidad y seguridad del proyecto (.agent/rules.md).</w:t>
            </w:r>
          </w:p>
        </w:tc>
      </w:tr>
      <w:tr>
        <w:tc>
          <w:tcPr>
            <w:tcW w:type="dxa" w:w="1361"/>
          </w:tcPr>
          <w:p>
            <w:pPr>
              <w:spacing w:before="40" w:after="40"/>
            </w:pPr>
            <w:r>
              <w:rPr>
                <w:b/>
                <w:sz w:val="19"/>
              </w:rPr>
              <w:t>CTX-01</w:t>
            </w:r>
          </w:p>
        </w:tc>
        <w:tc>
          <w:tcPr>
            <w:tcW w:type="dxa" w:w="8674"/>
          </w:tcPr>
          <w:p>
            <w:pPr>
              <w:spacing w:before="40" w:after="40"/>
            </w:pPr>
            <w:r>
              <w:rPr>
                <w:sz w:val="19"/>
              </w:rPr>
              <w:t>Contexto técnico y decisiones vigentes (PROJECT_CONTEXT.md).</w:t>
            </w:r>
          </w:p>
        </w:tc>
      </w:tr>
      <w:tr>
        <w:tc>
          <w:tcPr>
            <w:tcW w:type="dxa" w:w="1361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9"/>
              </w:rPr>
              <w:t>ERF-01</w:t>
            </w:r>
          </w:p>
        </w:tc>
        <w:tc>
          <w:tcPr>
            <w:tcW w:type="dxa" w:w="8674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Especificación de Requisitos Funcionales SAAD (ERF-SAAD-2026).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2. Marco de calidad y convenciones</w:t>
      </w:r>
    </w:p>
    <w:p>
      <w:pPr>
        <w:pStyle w:val="Heading2"/>
      </w:pPr>
      <w:r>
        <w:t>2.1 Modelo de calidad adoptado</w:t>
      </w:r>
    </w:p>
    <w:p>
      <w:pPr>
        <w:jc w:val="both"/>
      </w:pPr>
      <w:r>
        <w:rPr>
          <w:sz w:val="21"/>
        </w:rPr>
        <w:t xml:space="preserve">El catálogo se organiza según las características de calidad de producto de </w:t>
      </w:r>
      <w:r>
        <w:rPr>
          <w:b/>
          <w:sz w:val="21"/>
        </w:rPr>
        <w:t>ISO/IEC 25010</w:t>
      </w:r>
      <w:r>
        <w:rPr>
          <w:sz w:val="21"/>
        </w:rPr>
        <w:t xml:space="preserve">, complementadas con las características de </w:t>
      </w:r>
      <w:r>
        <w:rPr>
          <w:b/>
          <w:sz w:val="21"/>
        </w:rPr>
        <w:t>calidad de datos de ISO/IEC 25012</w:t>
      </w:r>
      <w:r>
        <w:rPr>
          <w:sz w:val="21"/>
        </w:rPr>
        <w:t xml:space="preserve"> —determinantes en un sistema cuyo valor depende íntegramente de la fidelidad de sus fuentes—. La tabla siguiente relaciona cada característica con su prefijo de identificación en este documento.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75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Característica de calidad</w:t>
            </w:r>
          </w:p>
        </w:tc>
        <w:tc>
          <w:tcPr>
            <w:tcW w:type="dxa" w:w="1304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Prefijo</w:t>
            </w:r>
          </w:p>
        </w:tc>
        <w:tc>
          <w:tcPr>
            <w:tcW w:type="dxa" w:w="5556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Foco en el contexto de SAAD</w:t>
            </w:r>
          </w:p>
        </w:tc>
      </w:tr>
      <w:tr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9"/>
              </w:rPr>
              <w:t>Adecuación funcional</w:t>
            </w:r>
          </w:p>
        </w:tc>
        <w:tc>
          <w:tcPr>
            <w:tcW w:type="dxa" w:w="1304"/>
          </w:tcPr>
          <w:p>
            <w:pPr>
              <w:spacing w:before="40" w:after="40"/>
            </w:pPr>
            <w:r>
              <w:rPr>
                <w:sz w:val="19"/>
              </w:rPr>
              <w:t>RNF-AFU</w:t>
            </w:r>
          </w:p>
        </w:tc>
        <w:tc>
          <w:tcPr>
            <w:tcW w:type="dxa" w:w="5556"/>
          </w:tcPr>
          <w:p>
            <w:pPr>
              <w:spacing w:before="40" w:after="40"/>
            </w:pPr>
            <w:r>
              <w:rPr>
                <w:sz w:val="19"/>
              </w:rPr>
              <w:t>Corrección y exactitud de las cifras y de las proyecciones publicadas.</w:t>
            </w:r>
          </w:p>
        </w:tc>
      </w:tr>
      <w:tr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Eficiencia de desempeño</w:t>
            </w:r>
          </w:p>
        </w:tc>
        <w:tc>
          <w:tcPr>
            <w:tcW w:type="dxa" w:w="1304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RNF-EDE</w:t>
            </w:r>
          </w:p>
        </w:tc>
        <w:tc>
          <w:tcPr>
            <w:tcW w:type="dxa" w:w="5556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Tiempos de respuesta de la plataforma y costo de procesar volúmenes de decenas de millones de registros.</w:t>
            </w:r>
          </w:p>
        </w:tc>
      </w:tr>
      <w:tr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9"/>
              </w:rPr>
              <w:t>Compatibilidad</w:t>
            </w:r>
          </w:p>
        </w:tc>
        <w:tc>
          <w:tcPr>
            <w:tcW w:type="dxa" w:w="1304"/>
          </w:tcPr>
          <w:p>
            <w:pPr>
              <w:spacing w:before="40" w:after="40"/>
            </w:pPr>
            <w:r>
              <w:rPr>
                <w:sz w:val="19"/>
              </w:rPr>
              <w:t>RNF-CMP</w:t>
            </w:r>
          </w:p>
        </w:tc>
        <w:tc>
          <w:tcPr>
            <w:tcW w:type="dxa" w:w="5556"/>
          </w:tcPr>
          <w:p>
            <w:pPr>
              <w:spacing w:before="40" w:after="40"/>
            </w:pPr>
            <w:r>
              <w:rPr>
                <w:sz w:val="19"/>
              </w:rPr>
              <w:t>Interoperabilidad mediante formatos abiertos y ejecución en navegadores y entornos estándar.</w:t>
            </w:r>
          </w:p>
        </w:tc>
      </w:tr>
      <w:tr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Capacidad de interacción (usabilidad)</w:t>
            </w:r>
          </w:p>
        </w:tc>
        <w:tc>
          <w:tcPr>
            <w:tcW w:type="dxa" w:w="1304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RNF-USA</w:t>
            </w:r>
          </w:p>
        </w:tc>
        <w:tc>
          <w:tcPr>
            <w:tcW w:type="dxa" w:w="5556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Comprensión correcta de indicadores por profesionales no técnicos y accesibilidad.</w:t>
            </w:r>
          </w:p>
        </w:tc>
      </w:tr>
      <w:tr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9"/>
              </w:rPr>
              <w:t>Fiabilidad</w:t>
            </w:r>
          </w:p>
        </w:tc>
        <w:tc>
          <w:tcPr>
            <w:tcW w:type="dxa" w:w="1304"/>
          </w:tcPr>
          <w:p>
            <w:pPr>
              <w:spacing w:before="40" w:after="40"/>
            </w:pPr>
            <w:r>
              <w:rPr>
                <w:sz w:val="19"/>
              </w:rPr>
              <w:t>RNF-FIA</w:t>
            </w:r>
          </w:p>
        </w:tc>
        <w:tc>
          <w:tcPr>
            <w:tcW w:type="dxa" w:w="5556"/>
          </w:tcPr>
          <w:p>
            <w:pPr>
              <w:spacing w:before="40" w:after="40"/>
            </w:pPr>
            <w:r>
              <w:rPr>
                <w:sz w:val="19"/>
              </w:rPr>
              <w:t>Disponibilidad durante la validación, degradación controlada y recuperación.</w:t>
            </w:r>
          </w:p>
        </w:tc>
      </w:tr>
      <w:tr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Seguridad</w:t>
            </w:r>
          </w:p>
        </w:tc>
        <w:tc>
          <w:tcPr>
            <w:tcW w:type="dxa" w:w="1304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RNF-SEG</w:t>
            </w:r>
          </w:p>
        </w:tc>
        <w:tc>
          <w:tcPr>
            <w:tcW w:type="dxa" w:w="5556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Protección del acceso administrativo, del canal y de la información publicada.</w:t>
            </w:r>
          </w:p>
        </w:tc>
      </w:tr>
      <w:tr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9"/>
              </w:rPr>
              <w:t>Mantenibilidad</w:t>
            </w:r>
          </w:p>
        </w:tc>
        <w:tc>
          <w:tcPr>
            <w:tcW w:type="dxa" w:w="1304"/>
          </w:tcPr>
          <w:p>
            <w:pPr>
              <w:spacing w:before="40" w:after="40"/>
            </w:pPr>
            <w:r>
              <w:rPr>
                <w:sz w:val="19"/>
              </w:rPr>
              <w:t>RNF-MAN</w:t>
            </w:r>
          </w:p>
        </w:tc>
        <w:tc>
          <w:tcPr>
            <w:tcW w:type="dxa" w:w="5556"/>
          </w:tcPr>
          <w:p>
            <w:pPr>
              <w:spacing w:before="40" w:after="40"/>
            </w:pPr>
            <w:r>
              <w:rPr>
                <w:sz w:val="19"/>
              </w:rPr>
              <w:t>Modularidad, pruebas, estándares de código y capacidad del equipo de sostener el sistema.</w:t>
            </w:r>
          </w:p>
        </w:tc>
      </w:tr>
      <w:tr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Flexibilidad (portabilidad y escalabilidad)</w:t>
            </w:r>
          </w:p>
        </w:tc>
        <w:tc>
          <w:tcPr>
            <w:tcW w:type="dxa" w:w="1304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RNF-FLE</w:t>
            </w:r>
          </w:p>
        </w:tc>
        <w:tc>
          <w:tcPr>
            <w:tcW w:type="dxa" w:w="5556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Extensión a otros períodos o territorios e instalación reproducible.</w:t>
            </w:r>
          </w:p>
        </w:tc>
      </w:tr>
      <w:tr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9"/>
              </w:rPr>
              <w:t>Seguridad de uso y uso responsable</w:t>
            </w:r>
          </w:p>
        </w:tc>
        <w:tc>
          <w:tcPr>
            <w:tcW w:type="dxa" w:w="1304"/>
          </w:tcPr>
          <w:p>
            <w:pPr>
              <w:spacing w:before="40" w:after="40"/>
            </w:pPr>
            <w:r>
              <w:rPr>
                <w:sz w:val="19"/>
              </w:rPr>
              <w:t>RNF-USO</w:t>
            </w:r>
          </w:p>
        </w:tc>
        <w:tc>
          <w:tcPr>
            <w:tcW w:type="dxa" w:w="5556"/>
          </w:tcPr>
          <w:p>
            <w:pPr>
              <w:spacing w:before="40" w:after="40"/>
            </w:pPr>
            <w:r>
              <w:rPr>
                <w:sz w:val="19"/>
              </w:rPr>
              <w:t>Salvaguardas frente a interpretación indebida, reidentificación y estigmatización territorial.</w:t>
            </w:r>
          </w:p>
        </w:tc>
      </w:tr>
      <w:tr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Calidad de datos (ISO/IEC 25012)</w:t>
            </w:r>
          </w:p>
        </w:tc>
        <w:tc>
          <w:tcPr>
            <w:tcW w:type="dxa" w:w="1304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RNF-DAT</w:t>
            </w:r>
          </w:p>
        </w:tc>
        <w:tc>
          <w:tcPr>
            <w:tcW w:type="dxa" w:w="5556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Exactitud, completitud, consistencia, actualidad y trazabilidad del dato publicado.</w:t>
            </w:r>
          </w:p>
        </w:tc>
      </w:tr>
    </w:tbl>
    <w:p>
      <w:pPr>
        <w:spacing w:after="80"/>
      </w:pPr>
    </w:p>
    <w:p>
      <w:pPr>
        <w:pStyle w:val="Heading2"/>
      </w:pPr>
      <w:r>
        <w:t>2.2 Identificación, prioridad y verificación</w:t>
      </w:r>
    </w:p>
    <w:p>
      <w:pPr>
        <w:jc w:val="both"/>
      </w:pPr>
      <w:r>
        <w:rPr>
          <w:sz w:val="21"/>
        </w:rPr>
        <w:t xml:space="preserve">Cada requisito se identifica como </w:t>
      </w:r>
      <w:r>
        <w:rPr>
          <w:b/>
          <w:sz w:val="21"/>
        </w:rPr>
        <w:t>RNF-&lt;PREFIJO&gt;-&lt;NNN&gt;</w:t>
      </w:r>
      <w:r>
        <w:rPr>
          <w:sz w:val="21"/>
        </w:rPr>
        <w:t>. La prioridad utiliza la misma escala MoSCoW del ERF (</w:t>
      </w:r>
      <w:r>
        <w:rPr>
          <w:b/>
          <w:sz w:val="21"/>
        </w:rPr>
        <w:t>Debe</w:t>
      </w:r>
      <w:r>
        <w:rPr>
          <w:sz w:val="21"/>
        </w:rPr>
        <w:t xml:space="preserve">, </w:t>
      </w:r>
      <w:r>
        <w:rPr>
          <w:b/>
          <w:sz w:val="21"/>
        </w:rPr>
        <w:t>Debería</w:t>
      </w:r>
      <w:r>
        <w:rPr>
          <w:sz w:val="21"/>
        </w:rPr>
        <w:t xml:space="preserve">, </w:t>
      </w:r>
      <w:r>
        <w:rPr>
          <w:b/>
          <w:sz w:val="21"/>
        </w:rPr>
        <w:t>Podría</w:t>
      </w:r>
      <w:r>
        <w:rPr>
          <w:sz w:val="21"/>
        </w:rPr>
        <w:t xml:space="preserve">). El método de verificación sigue ISO/IEC/IEEE 29148:2018: </w:t>
      </w:r>
      <w:r>
        <w:rPr>
          <w:b/>
          <w:sz w:val="21"/>
        </w:rPr>
        <w:t>I</w:t>
      </w:r>
      <w:r>
        <w:rPr>
          <w:sz w:val="21"/>
        </w:rPr>
        <w:t xml:space="preserve"> inspección, </w:t>
      </w:r>
      <w:r>
        <w:rPr>
          <w:b/>
          <w:sz w:val="21"/>
        </w:rPr>
        <w:t>A</w:t>
      </w:r>
      <w:r>
        <w:rPr>
          <w:sz w:val="21"/>
        </w:rPr>
        <w:t xml:space="preserve"> análisis, </w:t>
      </w:r>
      <w:r>
        <w:rPr>
          <w:b/>
          <w:sz w:val="21"/>
        </w:rPr>
        <w:t>D</w:t>
      </w:r>
      <w:r>
        <w:rPr>
          <w:sz w:val="21"/>
        </w:rPr>
        <w:t xml:space="preserve"> demostración, </w:t>
      </w:r>
      <w:r>
        <w:rPr>
          <w:b/>
          <w:sz w:val="21"/>
        </w:rPr>
        <w:t>P</w:t>
      </w:r>
      <w:r>
        <w:rPr>
          <w:sz w:val="21"/>
        </w:rPr>
        <w:t xml:space="preserve"> prueba. Ambos valores se indican en la columna «Prio. / Ver.».</w:t>
      </w:r>
    </w:p>
    <w:p>
      <w:pPr>
        <w:pStyle w:val="Heading2"/>
      </w:pPr>
      <w:r>
        <w:t>2.3 Criterios de redacción</w:t>
      </w:r>
    </w:p>
    <w:p>
      <w:pPr>
        <w:pStyle w:val="ListBullet"/>
        <w:spacing w:after="60"/>
      </w:pPr>
      <w:r>
        <w:rPr>
          <w:sz w:val="21"/>
        </w:rPr>
        <w:t xml:space="preserve">Todo requisito declara una </w:t>
      </w:r>
      <w:r>
        <w:rPr>
          <w:b/>
          <w:sz w:val="21"/>
        </w:rPr>
        <w:t>métrica</w:t>
      </w:r>
      <w:r>
        <w:rPr>
          <w:sz w:val="21"/>
        </w:rPr>
        <w:t xml:space="preserve">, una </w:t>
      </w:r>
      <w:r>
        <w:rPr>
          <w:b/>
          <w:sz w:val="21"/>
        </w:rPr>
        <w:t>unidad</w:t>
      </w:r>
      <w:r>
        <w:rPr>
          <w:sz w:val="21"/>
        </w:rPr>
        <w:t xml:space="preserve"> y un </w:t>
      </w:r>
      <w:r>
        <w:rPr>
          <w:b/>
          <w:sz w:val="21"/>
        </w:rPr>
        <w:t>valor objetivo</w:t>
      </w:r>
      <w:r>
        <w:rPr>
          <w:sz w:val="21"/>
        </w:rPr>
        <w:t xml:space="preserve"> verificable.</w:t>
      </w:r>
    </w:p>
    <w:p>
      <w:pPr>
        <w:pStyle w:val="ListBullet"/>
        <w:spacing w:after="60"/>
      </w:pPr>
      <w:r>
        <w:rPr>
          <w:sz w:val="21"/>
        </w:rPr>
        <w:t>Los percentiles se expresan como P95 salvo indicación distinta y se miden sobre al menos 30 observaciones.</w:t>
      </w:r>
    </w:p>
    <w:p>
      <w:pPr>
        <w:pStyle w:val="ListBullet"/>
        <w:spacing w:after="60"/>
      </w:pPr>
      <w:r>
        <w:rPr>
          <w:sz w:val="21"/>
        </w:rPr>
        <w:t>Cuando la meta depende del entorno, se refiere explícitamente al entorno de referencia de la sección 3.</w:t>
      </w:r>
    </w:p>
    <w:p>
      <w:pPr>
        <w:pStyle w:val="ListBullet"/>
        <w:spacing w:after="60"/>
      </w:pPr>
      <w:r>
        <w:rPr>
          <w:sz w:val="21"/>
        </w:rPr>
        <w:t>Los requisitos que no puedan medirse con los recursos del proyecto se declaran como *Podría* o se documentan como limitación, en lugar de enunciarse sin verificación.</w:t>
      </w:r>
    </w:p>
    <w:p>
      <w:r>
        <w:br w:type="page"/>
      </w:r>
    </w:p>
    <w:p>
      <w:pPr>
        <w:pStyle w:val="Heading1"/>
      </w:pPr>
      <w:r>
        <w:t>3. Entorno de referencia para las mediciones</w:t>
      </w:r>
    </w:p>
    <w:p>
      <w:pPr>
        <w:jc w:val="both"/>
      </w:pPr>
      <w:r>
        <w:rPr>
          <w:sz w:val="21"/>
        </w:rPr>
        <w:t>Los valores objetivo de las secciones 4 y 5 se verifican sobre las siguientes condiciones. Toda medición debe registrar el entorno efectivo utilizado; si difiere del de referencia, la diferencia se documenta junto al resultado.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494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Dimensión</w:t>
            </w:r>
          </w:p>
        </w:tc>
        <w:tc>
          <w:tcPr>
            <w:tcW w:type="dxa" w:w="7540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Condición de referencia</w:t>
            </w:r>
          </w:p>
        </w:tc>
      </w:tr>
      <w:tr>
        <w:tc>
          <w:tcPr>
            <w:tcW w:type="dxa" w:w="2494"/>
          </w:tcPr>
          <w:p>
            <w:pPr>
              <w:spacing w:before="40" w:after="40"/>
            </w:pPr>
            <w:r>
              <w:rPr>
                <w:b/>
                <w:sz w:val="19"/>
              </w:rPr>
              <w:t>Equipo de procesamiento</w:t>
            </w:r>
          </w:p>
        </w:tc>
        <w:tc>
          <w:tcPr>
            <w:tcW w:type="dxa" w:w="7540"/>
          </w:tcPr>
          <w:p>
            <w:pPr>
              <w:spacing w:before="40" w:after="40"/>
            </w:pPr>
            <w:r>
              <w:rPr>
                <w:sz w:val="19"/>
              </w:rPr>
              <w:t>Estación de trabajo del equipo con 4 núcleos físicos, 16 GB de memoria RAM y almacenamiento SSD (valores a confirmar y registrar por el equipo antes de la primera medición formal).</w:t>
            </w:r>
          </w:p>
        </w:tc>
      </w:tr>
      <w:tr>
        <w:tc>
          <w:tcPr>
            <w:tcW w:type="dxa" w:w="249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9"/>
              </w:rPr>
              <w:t>Sistema operativo y entorno</w:t>
            </w:r>
          </w:p>
        </w:tc>
        <w:tc>
          <w:tcPr>
            <w:tcW w:type="dxa" w:w="7540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Windows 11 con WSL2 y Docker Compose; alternativamente, distribución Linux equivalente.</w:t>
            </w:r>
          </w:p>
        </w:tc>
      </w:tr>
      <w:tr>
        <w:tc>
          <w:tcPr>
            <w:tcW w:type="dxa" w:w="2494"/>
          </w:tcPr>
          <w:p>
            <w:pPr>
              <w:spacing w:before="40" w:after="40"/>
            </w:pPr>
            <w:r>
              <w:rPr>
                <w:b/>
                <w:sz w:val="19"/>
              </w:rPr>
              <w:t>Base de datos</w:t>
            </w:r>
          </w:p>
        </w:tc>
        <w:tc>
          <w:tcPr>
            <w:tcW w:type="dxa" w:w="7540"/>
          </w:tcPr>
          <w:p>
            <w:pPr>
              <w:spacing w:before="40" w:after="40"/>
            </w:pPr>
            <w:r>
              <w:rPr>
                <w:sz w:val="19"/>
              </w:rPr>
              <w:t>PostgreSQL con extensión PostGIS, ejecutándose en contenedor local.</w:t>
            </w:r>
          </w:p>
        </w:tc>
      </w:tr>
      <w:tr>
        <w:tc>
          <w:tcPr>
            <w:tcW w:type="dxa" w:w="249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9"/>
              </w:rPr>
              <w:t>Cliente web de referencia</w:t>
            </w:r>
          </w:p>
        </w:tc>
        <w:tc>
          <w:tcPr>
            <w:tcW w:type="dxa" w:w="7540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Navegador Chrome en su última versión estable, resolución 1366×768 o superior.</w:t>
            </w:r>
          </w:p>
        </w:tc>
      </w:tr>
      <w:tr>
        <w:tc>
          <w:tcPr>
            <w:tcW w:type="dxa" w:w="2494"/>
          </w:tcPr>
          <w:p>
            <w:pPr>
              <w:spacing w:before="40" w:after="40"/>
            </w:pPr>
            <w:r>
              <w:rPr>
                <w:b/>
                <w:sz w:val="19"/>
              </w:rPr>
              <w:t>Red de referencia</w:t>
            </w:r>
          </w:p>
        </w:tc>
        <w:tc>
          <w:tcPr>
            <w:tcW w:type="dxa" w:w="7540"/>
          </w:tcPr>
          <w:p>
            <w:pPr>
              <w:spacing w:before="40" w:after="40"/>
            </w:pPr>
            <w:r>
              <w:rPr>
                <w:sz w:val="19"/>
              </w:rPr>
              <w:t>Conexión de banda ancha de al menos 20 Mbps de bajada y latencia inferior a 50 ms hacia el servidor.</w:t>
            </w:r>
          </w:p>
        </w:tc>
      </w:tr>
      <w:tr>
        <w:tc>
          <w:tcPr>
            <w:tcW w:type="dxa" w:w="249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9"/>
              </w:rPr>
              <w:t>Conjunto de datos de referencia</w:t>
            </w:r>
          </w:p>
        </w:tc>
        <w:tc>
          <w:tcPr>
            <w:tcW w:type="dxa" w:w="7540"/>
            <w:shd w:val="clear" w:color="auto" w:fill="EAF0F6"/>
          </w:tcPr>
          <w:p>
            <w:pPr>
              <w:spacing w:before="40" w:after="40"/>
            </w:pPr>
            <w:r>
              <w:rPr>
                <w:sz w:val="19"/>
              </w:rPr>
              <w:t>Atenciones de urgencia de la RM 2020–2026 (13.897.800 registros normalizados), maestro de 1.172 establecimientos de la RM y cartografía comunal de las 52 comunas del Censo 2024.</w:t>
            </w:r>
          </w:p>
        </w:tc>
      </w:tr>
      <w:tr>
        <w:tc>
          <w:tcPr>
            <w:tcW w:type="dxa" w:w="2494"/>
          </w:tcPr>
          <w:p>
            <w:pPr>
              <w:spacing w:before="40" w:after="40"/>
            </w:pPr>
            <w:r>
              <w:rPr>
                <w:b/>
                <w:sz w:val="19"/>
              </w:rPr>
              <w:t>Carga de usuarios de referencia</w:t>
            </w:r>
          </w:p>
        </w:tc>
        <w:tc>
          <w:tcPr>
            <w:tcW w:type="dxa" w:w="7540"/>
          </w:tcPr>
          <w:p>
            <w:pPr>
              <w:spacing w:before="40" w:after="40"/>
            </w:pPr>
            <w:r>
              <w:rPr>
                <w:sz w:val="19"/>
              </w:rPr>
              <w:t>Hasta 20 sesiones concurrentes, coherente con un uso institucional acotado durante la validación.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4. Requisitos no funcionales de producto</w:t>
      </w:r>
    </w:p>
    <w:p>
      <w:pPr>
        <w:jc w:val="both"/>
      </w:pPr>
      <w:r>
        <w:rPr>
          <w:sz w:val="21"/>
        </w:rPr>
        <w:t>El catálogo se organiza según las características de ISO/IEC 25010. La columna «Prio. / Ver.» indica prioridad MoSCoW y método de verificación, conforme a la sección 2.2.</w:t>
      </w:r>
    </w:p>
    <w:p>
      <w:pPr>
        <w:pStyle w:val="Heading2"/>
      </w:pPr>
      <w:r>
        <w:t>4.1 Adecuación funcional (RNF-AFU)</w:t>
      </w:r>
    </w:p>
    <w:p>
      <w:pPr>
        <w:jc w:val="both"/>
      </w:pPr>
      <w:r>
        <w:rPr>
          <w:sz w:val="21"/>
        </w:rPr>
        <w:t>Grado en que el sistema entrega resultados correctos y adecuados al propósito declarado. En SAAD, la corrección de la cifra y la utilidad demostrada del pronóstico son condiciones de aceptación, no aspiraciones.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134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175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4649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Métrica y valor objetivo</w:t>
            </w:r>
          </w:p>
        </w:tc>
        <w:tc>
          <w:tcPr>
            <w:tcW w:type="dxa" w:w="1077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Prio. / Ver.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RNF-AFU-001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Corrección de las cifras publicadas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Discrepancia entre la cifra publicada y su recálculo desde el código versionado: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en el 100 % de los indicadores auditados.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RNF-AFU-002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Utilidad mínima del modelo de pronóstico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Error escalado del modelo respecto del baseline estacional ingenuo (MASE) </w:t>
            </w:r>
            <w:r>
              <w:rPr>
                <w:b/>
                <w:sz w:val="17"/>
              </w:rPr>
              <w:t>&lt; 1,0</w:t>
            </w:r>
            <w:r>
              <w:rPr>
                <w:sz w:val="17"/>
              </w:rPr>
              <w:t xml:space="preserve"> en el horizonte comprometido de 4 a 8 semanas; en caso contrario, no se publica el modelo y se declara el resultado.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A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RNF-AFU-003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Cobertura de la incertidumbre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Cobertura empírica del intervalo de predicción en backtesting dentro de ±10 puntos porcentuales del nivel nominal declarado.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Debería / A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RNF-AFU-004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Completitud funcional del MVP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Requisitos funcionales de prioridad *Debe* implementados y verificados: </w:t>
            </w:r>
            <w:r>
              <w:rPr>
                <w:b/>
                <w:sz w:val="17"/>
              </w:rPr>
              <w:t>100 %</w:t>
            </w:r>
            <w:r>
              <w:rPr>
                <w:sz w:val="17"/>
              </w:rPr>
              <w:t xml:space="preserve"> al cierre de la Fase 2.3.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RNF-AFU-005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Exactitud de la agregación territorial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Diferencia entre la suma de las unidades y el valor del agregado mostrado (comuna, servicio de salud, tipo de establecimiento):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>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</w:tbl>
    <w:p>
      <w:pPr>
        <w:spacing w:after="80"/>
      </w:pPr>
    </w:p>
    <w:p>
      <w:pPr>
        <w:pStyle w:val="Heading2"/>
      </w:pPr>
      <w:r>
        <w:t>4.2 Eficiencia de desempeño (RNF-EDE)</w:t>
      </w:r>
    </w:p>
    <w:p>
      <w:pPr>
        <w:jc w:val="both"/>
      </w:pPr>
      <w:r>
        <w:rPr>
          <w:sz w:val="21"/>
        </w:rPr>
        <w:t>Comportamiento temporal y uso de recursos, tanto en la interacción del usuario como en el procesamiento por lotes de volúmenes del orden de decenas de millones de registros.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134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175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4649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Métrica y valor objetivo</w:t>
            </w:r>
          </w:p>
        </w:tc>
        <w:tc>
          <w:tcPr>
            <w:tcW w:type="dxa" w:w="1077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Prio. / Ver.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RNF-EDE-001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Tiempo de carga del panel principal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Tiempo hasta contenido útil del panel inicial: </w:t>
            </w:r>
            <w:r>
              <w:rPr>
                <w:b/>
                <w:sz w:val="17"/>
              </w:rPr>
              <w:t>≤ 3 s</w:t>
            </w:r>
            <w:r>
              <w:rPr>
                <w:sz w:val="17"/>
              </w:rPr>
              <w:t xml:space="preserve"> (P95) en el entorno de referencia.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RNF-EDE-002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Latencia de los servicios de consulta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Tiempo de respuesta de los endpoints de series e indicadores: </w:t>
            </w:r>
            <w:r>
              <w:rPr>
                <w:b/>
                <w:sz w:val="17"/>
              </w:rPr>
              <w:t>≤ 800 ms</w:t>
            </w:r>
            <w:r>
              <w:rPr>
                <w:sz w:val="17"/>
              </w:rPr>
              <w:t xml:space="preserve"> (P95) para consultas de hasta 5 años y 52 comunas.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RNF-EDE-003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Respuesta a la aplicación de filtros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Actualización de las vistas activas tras cambiar un filtro: </w:t>
            </w:r>
            <w:r>
              <w:rPr>
                <w:b/>
                <w:sz w:val="17"/>
              </w:rPr>
              <w:t>≤ 1,5 s</w:t>
            </w:r>
            <w:r>
              <w:rPr>
                <w:sz w:val="17"/>
              </w:rPr>
              <w:t xml:space="preserve"> (P95).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RNF-EDE-004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Desempeño del mapa interactivo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Render inicial del mapa con las 52 comunas y la capa de establecimientos: </w:t>
            </w:r>
            <w:r>
              <w:rPr>
                <w:b/>
                <w:sz w:val="17"/>
              </w:rPr>
              <w:t>≤ 3 s</w:t>
            </w:r>
            <w:r>
              <w:rPr>
                <w:sz w:val="17"/>
              </w:rPr>
              <w:t xml:space="preserve"> (P95); las operaciones de zoom y desplazamiento no bloquean la interfaz por más de </w:t>
            </w:r>
            <w:r>
              <w:rPr>
                <w:b/>
                <w:sz w:val="17"/>
              </w:rPr>
              <w:t>200 ms</w:t>
            </w:r>
            <w:r>
              <w:rPr>
                <w:sz w:val="17"/>
              </w:rPr>
              <w:t>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RNF-EDE-005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Costo de procesamiento del pipeline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Ejecución completa del pipeline de urgencias de la RM (7 años): </w:t>
            </w:r>
            <w:r>
              <w:rPr>
                <w:b/>
                <w:sz w:val="17"/>
              </w:rPr>
              <w:t>≤ 90 min</w:t>
            </w:r>
            <w:r>
              <w:rPr>
                <w:sz w:val="17"/>
              </w:rPr>
              <w:t xml:space="preserve">, con uso máximo de memoria </w:t>
            </w:r>
            <w:r>
              <w:rPr>
                <w:b/>
                <w:sz w:val="17"/>
              </w:rPr>
              <w:t>≤ 8 GB</w:t>
            </w:r>
            <w:r>
              <w:rPr>
                <w:sz w:val="17"/>
              </w:rPr>
              <w:t xml:space="preserve"> mediante procesamiento por particiones.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RNF-EDE-006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Costo de entrenamiento y evaluación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Entrenamiento del modelo más backtesting completo: </w:t>
            </w:r>
            <w:r>
              <w:rPr>
                <w:b/>
                <w:sz w:val="17"/>
              </w:rPr>
              <w:t>≤ 60 min</w:t>
            </w:r>
            <w:r>
              <w:rPr>
                <w:sz w:val="17"/>
              </w:rPr>
              <w:t xml:space="preserve"> por ciclo.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Debería / P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RNF-EDE-007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Precálculo geoespacial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Cálculo de isócronas para todos los establecimientos de urgencia: </w:t>
            </w:r>
            <w:r>
              <w:rPr>
                <w:b/>
                <w:sz w:val="17"/>
              </w:rPr>
              <w:t>≤ 4 h</w:t>
            </w:r>
            <w:r>
              <w:rPr>
                <w:sz w:val="17"/>
              </w:rPr>
              <w:t>, ejecutado fuera de línea; las isócronas nunca se calculan durante una petición del usuario.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A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RNF-EDE-008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Exportación de datos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Generación y descarga de un archivo tabular de hasta 100.000 filas: </w:t>
            </w:r>
            <w:r>
              <w:rPr>
                <w:b/>
                <w:sz w:val="17"/>
              </w:rPr>
              <w:t>≤ 10 s</w:t>
            </w:r>
            <w:r>
              <w:rPr>
                <w:sz w:val="17"/>
              </w:rPr>
              <w:t>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Debería / P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RNF-EDE-009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Capacidad concurrente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Con 20 sesiones concurrentes, la degradación del P95 de los endpoints de consulta no supera el </w:t>
            </w:r>
            <w:r>
              <w:rPr>
                <w:b/>
                <w:sz w:val="17"/>
              </w:rPr>
              <w:t>50 %</w:t>
            </w:r>
            <w:r>
              <w:rPr>
                <w:sz w:val="17"/>
              </w:rPr>
              <w:t xml:space="preserve"> respecto de la medición con un usuario.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Debería / P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RNF-EDE-010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Peso de la interfaz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Peso total transferido en la carga inicial de la aplicación: </w:t>
            </w:r>
            <w:r>
              <w:rPr>
                <w:b/>
                <w:sz w:val="17"/>
              </w:rPr>
              <w:t>≤ 2,5 MB</w:t>
            </w:r>
            <w:r>
              <w:rPr>
                <w:sz w:val="17"/>
              </w:rPr>
              <w:t xml:space="preserve"> comprimido.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Debería / P</w:t>
            </w:r>
          </w:p>
        </w:tc>
      </w:tr>
    </w:tbl>
    <w:p>
      <w:pPr>
        <w:spacing w:after="80"/>
      </w:pPr>
    </w:p>
    <w:p>
      <w:pPr>
        <w:pStyle w:val="Heading2"/>
      </w:pPr>
      <w:r>
        <w:t>4.3 Compatibilidad e interoperabilidad (RNF-CMP)</w:t>
      </w:r>
    </w:p>
    <w:p>
      <w:pPr>
        <w:jc w:val="both"/>
      </w:pPr>
      <w:r>
        <w:rPr>
          <w:sz w:val="21"/>
        </w:rPr>
        <w:t>Capacidad del sistema de intercambiar información mediante formatos abiertos y de operar en los entornos de sus usuarios sin requisitos especiales.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134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175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4649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Métrica y valor objetivo</w:t>
            </w:r>
          </w:p>
        </w:tc>
        <w:tc>
          <w:tcPr>
            <w:tcW w:type="dxa" w:w="1077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Prio. / Ver.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RNF-CMP-001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Navegadores soportados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Funcionamiento sin defectos bloqueantes en las </w:t>
            </w:r>
            <w:r>
              <w:rPr>
                <w:b/>
                <w:sz w:val="17"/>
              </w:rPr>
              <w:t>dos últimas versiones estables</w:t>
            </w:r>
            <w:r>
              <w:rPr>
                <w:sz w:val="17"/>
              </w:rPr>
              <w:t xml:space="preserve"> de Chrome, Edge y Firefox, y en Safari 16 o superior.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RNF-CMP-002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Formatos abiertos de intercambio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Las exportaciones se entregan en </w:t>
            </w:r>
            <w:r>
              <w:rPr>
                <w:b/>
                <w:sz w:val="17"/>
              </w:rPr>
              <w:t>CSV (UTF-8)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Parquet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GeoJSON (RFC 7946)</w:t>
            </w:r>
            <w:r>
              <w:rPr>
                <w:sz w:val="17"/>
              </w:rPr>
              <w:t xml:space="preserve"> y, opcionalmente, </w:t>
            </w:r>
            <w:r>
              <w:rPr>
                <w:b/>
                <w:sz w:val="17"/>
              </w:rPr>
              <w:t>GeoPackage</w:t>
            </w:r>
            <w:r>
              <w:rPr>
                <w:sz w:val="17"/>
              </w:rPr>
              <w:t>; ningún resultado se publica exclusivamente en un formato propietario.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RNF-CMP-003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Interfaz de programación estándar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La API se describe conforme a </w:t>
            </w:r>
            <w:r>
              <w:rPr>
                <w:b/>
                <w:sz w:val="17"/>
              </w:rPr>
              <w:t>OpenAPI 3.x</w:t>
            </w:r>
            <w:r>
              <w:rPr>
                <w:sz w:val="17"/>
              </w:rPr>
              <w:t>, con especificación válida según un validador estándar y consumible desde clientes de terceros.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RNF-CMP-004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Sistemas de referencia de coordenadas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Las capas se almacenan preservando el CRS de origen (</w:t>
            </w:r>
            <w:r>
              <w:rPr>
                <w:rFonts w:ascii="Consolas" w:hAnsi="Consolas"/>
                <w:sz w:val="17"/>
              </w:rPr>
              <w:t>EPSG:4674</w:t>
            </w:r>
            <w:r>
              <w:rPr>
                <w:sz w:val="17"/>
              </w:rPr>
              <w:t xml:space="preserve">), se publican en </w:t>
            </w:r>
            <w:r>
              <w:rPr>
                <w:rFonts w:ascii="Consolas" w:hAnsi="Consolas"/>
                <w:sz w:val="17"/>
              </w:rPr>
              <w:t>EPSG:4326</w:t>
            </w:r>
            <w:r>
              <w:rPr>
                <w:sz w:val="17"/>
              </w:rPr>
              <w:t xml:space="preserve"> y los cálculos métricos se realizan en un CRS proyectado métrico apropiado; cada capa declara su CRS.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RNF-CMP-005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Compatibilidad de las descargas con herramientas ofimáticas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Los archivos tabulares se abren correctamente en hojas de cálculo de uso común, sin pérdida de acentos ni desalineación de columnas.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Debería / D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RNF-CMP-006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Coexistencia en el entorno de despliegue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El sistema se ejecuta en contenedores con puertos y credenciales configurables, sin exigir versiones específicas del sistema operativo anfitrión.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</w:tbl>
    <w:p>
      <w:pPr>
        <w:spacing w:after="80"/>
      </w:pPr>
    </w:p>
    <w:p>
      <w:pPr>
        <w:pStyle w:val="Heading2"/>
      </w:pPr>
      <w:r>
        <w:t>4.4 Capacidad de interacción y accesibilidad (RNF-USA)</w:t>
      </w:r>
    </w:p>
    <w:p>
      <w:pPr>
        <w:jc w:val="both"/>
      </w:pPr>
      <w:r>
        <w:rPr>
          <w:sz w:val="21"/>
        </w:rPr>
        <w:t>Condiciones para que profesionales no técnicos comprendan e interpreten correctamente los indicadores, incluidas las exigencias de accesibilidad.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134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175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4649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Métrica y valor objetivo</w:t>
            </w:r>
          </w:p>
        </w:tc>
        <w:tc>
          <w:tcPr>
            <w:tcW w:type="dxa" w:w="1077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Prio. / Ver.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RNF-USA-001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Eficacia en la tarea principal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Al menos el </w:t>
            </w:r>
            <w:r>
              <w:rPr>
                <w:b/>
                <w:sz w:val="17"/>
              </w:rPr>
              <w:t>80 %</w:t>
            </w:r>
            <w:r>
              <w:rPr>
                <w:sz w:val="17"/>
              </w:rPr>
              <w:t xml:space="preserve"> de los participantes de la prueba de usabilidad (mínimo 5 usuarios del perfil objetivo) completa sin asistencia la tarea «obtener la proyección de demanda de una comuna» en </w:t>
            </w:r>
            <w:r>
              <w:rPr>
                <w:b/>
                <w:sz w:val="17"/>
              </w:rPr>
              <w:t>≤ 3 min</w:t>
            </w:r>
            <w:r>
              <w:rPr>
                <w:sz w:val="17"/>
              </w:rPr>
              <w:t xml:space="preserve"> en su primera sesión.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RNF-USA-002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Satisfacción percibida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Puntaje </w:t>
            </w:r>
            <w:r>
              <w:rPr>
                <w:b/>
                <w:sz w:val="17"/>
              </w:rPr>
              <w:t>SUS ≥ 70</w:t>
            </w:r>
            <w:r>
              <w:rPr>
                <w:sz w:val="17"/>
              </w:rPr>
              <w:t xml:space="preserve"> promedio en la sesión de validación con usuarios.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Debería / D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RNF-USA-003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Comprensión correcta de los indicadores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Al menos el </w:t>
            </w:r>
            <w:r>
              <w:rPr>
                <w:b/>
                <w:sz w:val="17"/>
              </w:rPr>
              <w:t>80 %</w:t>
            </w:r>
            <w:r>
              <w:rPr>
                <w:sz w:val="17"/>
              </w:rPr>
              <w:t xml:space="preserve"> de los participantes interpreta correctamente el significado de la banda de intervalo de predicción tras consultar la ayuda contextual.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RNF-USA-004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Accesibilidad WCAG 2.1 AA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Contraste mínimo </w:t>
            </w:r>
            <w:r>
              <w:rPr>
                <w:b/>
                <w:sz w:val="17"/>
              </w:rPr>
              <w:t>4,5:1</w:t>
            </w:r>
            <w:r>
              <w:rPr>
                <w:sz w:val="17"/>
              </w:rPr>
              <w:t xml:space="preserve"> en texto normal y </w:t>
            </w:r>
            <w:r>
              <w:rPr>
                <w:b/>
                <w:sz w:val="17"/>
              </w:rPr>
              <w:t>3:1</w:t>
            </w:r>
            <w:r>
              <w:rPr>
                <w:sz w:val="17"/>
              </w:rPr>
              <w:t xml:space="preserve"> en texto grande y elementos gráficos; navegación completa por teclado con foco visible; etiquetas asociadas en todos los controles;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incidencias críticas en auditoría automatizada de accesibilidad.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RNF-USA-005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Independencia del color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Ninguna información se transmite únicamente mediante color; las paletas de series y mapas son distinguibles bajo simulación de deuteranopía y protanopía.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RNF-USA-006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Convenciones locales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Interfaz íntegramente en español de Chile, con formato de fecha </w:t>
            </w:r>
            <w:r>
              <w:rPr>
                <w:rFonts w:ascii="Consolas" w:hAnsi="Consolas"/>
                <w:sz w:val="17"/>
              </w:rPr>
              <w:t>dd-mm-aaaa</w:t>
            </w:r>
            <w:r>
              <w:rPr>
                <w:sz w:val="17"/>
              </w:rPr>
              <w:t>, separador de miles y decimal según convención local, y toda semana epidemiológica acompañada de su rango de fechas.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RNF-USA-007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Diseño adaptable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La aplicación es plenamente funcional desde </w:t>
            </w:r>
            <w:r>
              <w:rPr>
                <w:b/>
                <w:sz w:val="17"/>
              </w:rPr>
              <w:t>1366 × 768 px</w:t>
            </w:r>
            <w:r>
              <w:rPr>
                <w:sz w:val="17"/>
              </w:rPr>
              <w:t xml:space="preserve"> y utilizable en tablet a partir de </w:t>
            </w:r>
            <w:r>
              <w:rPr>
                <w:b/>
                <w:sz w:val="17"/>
              </w:rPr>
              <w:t>768 px</w:t>
            </w:r>
            <w:r>
              <w:rPr>
                <w:sz w:val="17"/>
              </w:rPr>
              <w:t xml:space="preserve"> de ancho, sin desbordes horizontales ni pérdida de controles.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RNF-USA-008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Estados de la interfaz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El </w:t>
            </w:r>
            <w:r>
              <w:rPr>
                <w:b/>
                <w:sz w:val="17"/>
              </w:rPr>
              <w:t>100 %</w:t>
            </w:r>
            <w:r>
              <w:rPr>
                <w:sz w:val="17"/>
              </w:rPr>
              <w:t xml:space="preserve"> de las vistas que consumen datos implementa estado de carga, estado vacío y estado de error con mensaje accionable en lenguaje no técnico.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RNF-USA-009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Protección frente al error del usuario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Los filtros que producen un resultado vacío o no comparable informan la causa y ofrecen una acción de recuperación, en lugar de mostrar una vista en blanco.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RNF-USA-010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Ayuda contextual accesible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La definición y el método de cálculo de cualquier indicador visible se alcanzan en </w:t>
            </w:r>
            <w:r>
              <w:rPr>
                <w:b/>
                <w:sz w:val="17"/>
              </w:rPr>
              <w:t>un clic</w:t>
            </w:r>
            <w:r>
              <w:rPr>
                <w:sz w:val="17"/>
              </w:rPr>
              <w:t xml:space="preserve"> desde la vista en que aparece.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</w:tbl>
    <w:p>
      <w:pPr>
        <w:spacing w:after="80"/>
      </w:pPr>
    </w:p>
    <w:p>
      <w:pPr>
        <w:pStyle w:val="Heading2"/>
      </w:pPr>
      <w:r>
        <w:t>4.5 Fiabilidad (RNF-FIA)</w:t>
      </w:r>
    </w:p>
    <w:p>
      <w:pPr>
        <w:jc w:val="both"/>
      </w:pPr>
      <w:r>
        <w:rPr>
          <w:sz w:val="21"/>
        </w:rPr>
        <w:t>Capacidad de mantener el servicio durante el período de validación, degradarse de forma controlada y recuperarse ante fallos.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134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175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4649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Métrica y valor objetivo</w:t>
            </w:r>
          </w:p>
        </w:tc>
        <w:tc>
          <w:tcPr>
            <w:tcW w:type="dxa" w:w="1077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Prio. / Ver.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RNF-FIA-001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Disponibilidad durante la validación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Disponibilidad del servicio </w:t>
            </w:r>
            <w:r>
              <w:rPr>
                <w:b/>
                <w:sz w:val="17"/>
              </w:rPr>
              <w:t>≥ 95 %</w:t>
            </w:r>
            <w:r>
              <w:rPr>
                <w:sz w:val="17"/>
              </w:rPr>
              <w:t xml:space="preserve"> en horario hábil (lunes a viernes, 08:00–20:00) durante el período de validación con usuarios, medida mediante verificación automática cada 5 minutos.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RNF-FIA-002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Degradación controlada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Ante indisponibilidad del servicio de pronóstico, la plataforma continúa mostrando los datos observados con aviso explícito; </w:t>
            </w:r>
            <w:r>
              <w:rPr>
                <w:b/>
                <w:sz w:val="17"/>
              </w:rPr>
              <w:t>no</w:t>
            </w:r>
            <w:r>
              <w:rPr>
                <w:sz w:val="17"/>
              </w:rPr>
              <w:t xml:space="preserve"> se presenta una pantalla de error total.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RNF-FIA-003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Publicación atómica de datos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Una actualización fallida deja el sistema en la versión anterior íntegra: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publicaciones parciales visibles para el usuario.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RNF-FIA-004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Respaldo y recuperación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Respaldo diario de la base de datos y de los artefactos de modelo, con </w:t>
            </w:r>
            <w:r>
              <w:rPr>
                <w:b/>
                <w:sz w:val="17"/>
              </w:rPr>
              <w:t>RPO ≤ 24 h</w:t>
            </w:r>
            <w:r>
              <w:rPr>
                <w:sz w:val="17"/>
              </w:rPr>
              <w:t xml:space="preserve"> y </w:t>
            </w:r>
            <w:r>
              <w:rPr>
                <w:b/>
                <w:sz w:val="17"/>
              </w:rPr>
              <w:t>RTO ≤ 4 h</w:t>
            </w:r>
            <w:r>
              <w:rPr>
                <w:sz w:val="17"/>
              </w:rPr>
              <w:t>; la restauración se prueba con éxito al menos una vez antes de la entrega final.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RNF-FIA-005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Tolerancia a fallos de las fuentes externas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Las descargas de fuentes externas reintentan al menos </w:t>
            </w:r>
            <w:r>
              <w:rPr>
                <w:b/>
                <w:sz w:val="17"/>
              </w:rPr>
              <w:t>3 veces</w:t>
            </w:r>
            <w:r>
              <w:rPr>
                <w:sz w:val="17"/>
              </w:rPr>
              <w:t xml:space="preserve"> con espera incremental y registran el fallo definitivo sin interrumpir el resto del pipeline.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Debería / P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RNF-FIA-006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Madurez del producto entregado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defectos de severidad crítica o alta abiertos al momento de la entrega final; los defectos menores conocidos se documentan en el backlog.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</w:tbl>
    <w:p>
      <w:pPr>
        <w:spacing w:after="80"/>
      </w:pPr>
    </w:p>
    <w:p>
      <w:pPr>
        <w:pStyle w:val="Heading2"/>
      </w:pPr>
      <w:r>
        <w:t>4.6 Seguridad (RNF-SEG)</w:t>
      </w:r>
    </w:p>
    <w:p>
      <w:pPr>
        <w:jc w:val="both"/>
      </w:pPr>
      <w:r>
        <w:rPr>
          <w:sz w:val="21"/>
        </w:rPr>
        <w:t>Protección del acceso administrativo, del canal de comunicación y de la información publicada. El sistema no trata datos personales, lo que reduce —pero no elimina— la superficie de riesgo.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134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175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4649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Métrica y valor objetivo</w:t>
            </w:r>
          </w:p>
        </w:tc>
        <w:tc>
          <w:tcPr>
            <w:tcW w:type="dxa" w:w="1077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Prio. / Ver.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RNF-SEG-001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Ausencia de datos personales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El sistema no almacena, procesa ni expone datos personales identificables: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atributos identificables en el modelo de datos, verificado por inspección del esquema y del diccionario de datos.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RNF-SEG-002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Cifrado del canal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Todo el tráfico externo se sirve sobre </w:t>
            </w:r>
            <w:r>
              <w:rPr>
                <w:b/>
                <w:sz w:val="17"/>
              </w:rPr>
              <w:t>TLS 1.2 o superior</w:t>
            </w:r>
            <w:r>
              <w:rPr>
                <w:sz w:val="17"/>
              </w:rPr>
              <w:t xml:space="preserve">, con redirección automática desde HTTP;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endpoints accesibles sin cifrado.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RNF-SEG-003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Almacenamiento de credenciales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Las contraseñas se almacenan con función de derivación de clave resistente (Argon2id o bcrypt con factor de costo suficiente);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credenciales en texto plano o con hash simple.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RNF-SEG-004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Gestión de secretos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Ningún secreto, credencial o cadena de conexión se versiona en el repositorio; la configuración sensible se inyecta por variables de entorno. Verificación mediante análisis de secretos sobre el historial: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hallazgos.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RNF-SEG-005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Autorización verificada en el servidor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Toda operación privilegiada valida el perfil del usuario en el servidor, con independencia de lo que muestre la interfaz: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operaciones administrativas ejecutables sin autorización efectiva.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RNF-SEG-006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Protección frente a riesgos OWASP Top 10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Uso de consultas parametrizadas, validación de entrada, cabeceras de seguridad y CORS restringido a orígenes autorizados;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vulnerabilidades críticas o altas detectadas en la revisión de seguridad previa a la entrega.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RNF-SEG-007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Registro de auditoría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Las acciones administrativas registran actor, acción, marca de tiempo y resultado, con retención </w:t>
            </w:r>
            <w:r>
              <w:rPr>
                <w:b/>
                <w:sz w:val="17"/>
              </w:rPr>
              <w:t>≥ 90 días</w:t>
            </w:r>
            <w:r>
              <w:rPr>
                <w:sz w:val="17"/>
              </w:rPr>
              <w:t>; los registros no contienen credenciales ni datos sensibles.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RNF-SEG-008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Gestión de dependencias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dependencias con vulnerabilidades conocidas de severidad crítica o alta al momento de la entrega; las versiones se fijan explícitamente.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RNF-SEG-009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Límite de uso de la API pública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Los endpoints públicos aplican un límite de tasa configurable por origen, que impide el agotamiento del servicio por consumo masivo.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Debería / P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RNF-SEG-010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Mensajes de error seguros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Los errores devueltos al cliente no exponen trazas de ejecución, rutas absolutas del sistema ni detalles internos de la base de datos.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</w:tbl>
    <w:p>
      <w:pPr>
        <w:spacing w:after="80"/>
      </w:pPr>
    </w:p>
    <w:p>
      <w:pPr>
        <w:pStyle w:val="Heading2"/>
      </w:pPr>
      <w:r>
        <w:t>4.7 Mantenibilidad (RNF-MAN)</w:t>
      </w:r>
    </w:p>
    <w:p>
      <w:pPr>
        <w:jc w:val="both"/>
      </w:pPr>
      <w:r>
        <w:rPr>
          <w:sz w:val="21"/>
        </w:rPr>
        <w:t>Condiciones que permiten al equipo modificar el sistema con bajo riesgo y sostener su calidad a lo largo del proyecto y después de él.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134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175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4649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Métrica y valor objetivo</w:t>
            </w:r>
          </w:p>
        </w:tc>
        <w:tc>
          <w:tcPr>
            <w:tcW w:type="dxa" w:w="1077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Prio. / Ver.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RNF-MAN-001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Modularidad de la arquitectura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El código respeta la separación por responsabilidad (</w:t>
            </w:r>
            <w:r>
              <w:rPr>
                <w:rFonts w:ascii="Consolas" w:hAnsi="Consolas"/>
                <w:sz w:val="17"/>
              </w:rPr>
              <w:t>src/data/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src/models/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src/geo/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src/hospitalization/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src/api/</w:t>
            </w:r>
            <w:r>
              <w:rPr>
                <w:sz w:val="17"/>
              </w:rPr>
              <w:t xml:space="preserve">);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dependencias cruzadas no justificadas entre módulos analíticos.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RNF-MAN-002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Estándar de código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Conformidad con </w:t>
            </w:r>
            <w:r>
              <w:rPr>
                <w:b/>
                <w:sz w:val="17"/>
              </w:rPr>
              <w:t>PEP 8</w:t>
            </w:r>
            <w:r>
              <w:rPr>
                <w:sz w:val="17"/>
              </w:rPr>
              <w:t xml:space="preserve"> y anotaciones de tipo en todas las funciones públicas;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errores del analizador estático en la rama principal.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RNF-MAN-003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Cobertura de pruebas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Cobertura de pruebas unitarias </w:t>
            </w:r>
            <w:r>
              <w:rPr>
                <w:b/>
                <w:sz w:val="17"/>
              </w:rPr>
              <w:t>≥ 80 %</w:t>
            </w:r>
            <w:r>
              <w:rPr>
                <w:sz w:val="17"/>
              </w:rPr>
              <w:t xml:space="preserve"> en los módulos de transformación y cálculo analítico, y </w:t>
            </w:r>
            <w:r>
              <w:rPr>
                <w:b/>
                <w:sz w:val="17"/>
              </w:rPr>
              <w:t>≥ 60 %</w:t>
            </w:r>
            <w:r>
              <w:rPr>
                <w:sz w:val="17"/>
              </w:rPr>
              <w:t xml:space="preserve"> en el total del proyecto.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RNF-MAN-004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Prueba obligatoria por función analítica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El </w:t>
            </w:r>
            <w:r>
              <w:rPr>
                <w:b/>
                <w:sz w:val="17"/>
              </w:rPr>
              <w:t>100 %</w:t>
            </w:r>
            <w:r>
              <w:rPr>
                <w:sz w:val="17"/>
              </w:rPr>
              <w:t xml:space="preserve"> de las funciones de transformación o cálculo analítico cuenta con al menos una prueba unitaria en </w:t>
            </w:r>
            <w:r>
              <w:rPr>
                <w:rFonts w:ascii="Consolas" w:hAnsi="Consolas"/>
                <w:sz w:val="17"/>
              </w:rPr>
              <w:t>tests/</w:t>
            </w:r>
            <w:r>
              <w:rPr>
                <w:sz w:val="17"/>
              </w:rPr>
              <w:t>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RNF-MAN-005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Integración continua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Cada solicitud de incorporación ejecuta automáticamente el analizador estático y la suite de pruebas; no se integra código con la verificación en rojo.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RNF-MAN-006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Revisión por pares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El </w:t>
            </w:r>
            <w:r>
              <w:rPr>
                <w:b/>
                <w:sz w:val="17"/>
              </w:rPr>
              <w:t>100 %</w:t>
            </w:r>
            <w:r>
              <w:rPr>
                <w:sz w:val="17"/>
              </w:rPr>
              <w:t xml:space="preserve"> de las incorporaciones a la rama principal es revisado por un integrante distinto del autor.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RNF-MAN-007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Trazabilidad de cambios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Uso de mensajes de commit convencionales y versionado semántico de las publicaciones; cada versión entregable declara su alcance de cambios.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Debería / I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RNF-MAN-008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Complejidad acotada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Complejidad ciclomática </w:t>
            </w:r>
            <w:r>
              <w:rPr>
                <w:b/>
                <w:sz w:val="17"/>
              </w:rPr>
              <w:t>≤ 10</w:t>
            </w:r>
            <w:r>
              <w:rPr>
                <w:sz w:val="17"/>
              </w:rPr>
              <w:t xml:space="preserve"> por función; las excepciones se justifican explícitamente en el código.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Debería / A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RNF-MAN-009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Documentación técnica viva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Módulos y funciones públicas documentados; guía de instalación y despliegue actualizada en cada entrega: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instrucciones obsoletas verificadas en una instalación limpia.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RNF-MAN-010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Capacidad de corrección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Tiempo medio de corrección de un defecto de severidad menor </w:t>
            </w:r>
            <w:r>
              <w:rPr>
                <w:b/>
                <w:sz w:val="17"/>
              </w:rPr>
              <w:t>≤ 3 días hábiles</w:t>
            </w:r>
            <w:r>
              <w:rPr>
                <w:sz w:val="17"/>
              </w:rPr>
              <w:t xml:space="preserve"> durante la fase de construcción.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Podría / A</w:t>
            </w:r>
          </w:p>
        </w:tc>
      </w:tr>
    </w:tbl>
    <w:p>
      <w:pPr>
        <w:spacing w:after="80"/>
      </w:pPr>
    </w:p>
    <w:p>
      <w:pPr>
        <w:pStyle w:val="Heading2"/>
      </w:pPr>
      <w:r>
        <w:t>4.8 Flexibilidad, portabilidad y escalabilidad (RNF-FLE)</w:t>
      </w:r>
    </w:p>
    <w:p>
      <w:pPr>
        <w:jc w:val="both"/>
      </w:pPr>
      <w:r>
        <w:rPr>
          <w:sz w:val="21"/>
        </w:rPr>
        <w:t>Capacidad de adaptar el sistema a nuevos períodos, territorios o volúmenes y de instalarlo de forma reproducible en entornos distintos.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134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175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4649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Métrica y valor objetivo</w:t>
            </w:r>
          </w:p>
        </w:tc>
        <w:tc>
          <w:tcPr>
            <w:tcW w:type="dxa" w:w="1077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Prio. / Ver.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RNF-FLE-001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Parametrización sin cambios de código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Territorio, período, horizonte de pronóstico y umbrales de isócrona se definen por configuración;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de estos parámetros embebidos en el código fuente.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RNF-FLE-002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Extensibilidad territorial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Incorporar una región adicional requiere únicamente cargar sus fuentes y ajustar la configuración, sin modificar la arquitectura ni el modelo de datos.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Debería / A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RNF-FLE-003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Escalabilidad del volumen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Un aumento del </w:t>
            </w:r>
            <w:r>
              <w:rPr>
                <w:b/>
                <w:sz w:val="17"/>
              </w:rPr>
              <w:t>30 %</w:t>
            </w:r>
            <w:r>
              <w:rPr>
                <w:sz w:val="17"/>
              </w:rPr>
              <w:t xml:space="preserve"> en el volumen de datos (equivalente a dos años adicionales) no incrementa el tiempo del pipeline en más de </w:t>
            </w:r>
            <w:r>
              <w:rPr>
                <w:b/>
                <w:sz w:val="17"/>
              </w:rPr>
              <w:t>1,5 veces</w:t>
            </w:r>
            <w:r>
              <w:rPr>
                <w:sz w:val="17"/>
              </w:rPr>
              <w:t xml:space="preserve"> ni obliga a rediseñar la arquitectura.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Debería / A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RNF-FLE-004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Instalación reproducible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En una máquina limpia con Docker, el entorno completo se levanta con un único comando en </w:t>
            </w:r>
            <w:r>
              <w:rPr>
                <w:b/>
                <w:sz w:val="17"/>
              </w:rPr>
              <w:t>≤ 20 min</w:t>
            </w:r>
            <w:r>
              <w:rPr>
                <w:sz w:val="17"/>
              </w:rPr>
              <w:t>, siguiendo la guía documentada.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RNF-FLE-005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Reemplazabilidad del modelo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El algoritmo de pronóstico puede sustituirse implementando la interfaz común definida, sin modificar la API ni la aplicación web.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Debería / I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RNF-FLE-006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Portabilidad del entorno de ejecución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El sistema se ejecuta indistintamente sobre Linux y sobre Windows con WSL2, con el mismo resultado funcional.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D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RNF-FLE-007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Portabilidad de las rutas y referencias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El </w:t>
            </w:r>
            <w:r>
              <w:rPr>
                <w:b/>
                <w:sz w:val="17"/>
              </w:rPr>
              <w:t>100 %</w:t>
            </w:r>
            <w:r>
              <w:rPr>
                <w:sz w:val="17"/>
              </w:rPr>
              <w:t xml:space="preserve"> de las rutas en código, informes y documentación es relativo al proyecto;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rutas absolutas, nombres de usuario o unidades de disco del entorno local.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</w:tbl>
    <w:p>
      <w:pPr>
        <w:spacing w:after="80"/>
      </w:pPr>
    </w:p>
    <w:p>
      <w:pPr>
        <w:pStyle w:val="Heading2"/>
      </w:pPr>
      <w:r>
        <w:t>4.9 Seguridad de uso y uso responsable (RNF-USO)</w:t>
      </w:r>
    </w:p>
    <w:p>
      <w:pPr>
        <w:jc w:val="both"/>
      </w:pPr>
      <w:r>
        <w:rPr>
          <w:sz w:val="21"/>
        </w:rPr>
        <w:t>Salvaguardas específicas del dominio sanitario: evitar la interpretación indebida, la reidentificación y la estigmatización territorial. Son requisitos verificables, no recomendaciones editoriales.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134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175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4649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Métrica y valor objetivo</w:t>
            </w:r>
          </w:p>
        </w:tc>
        <w:tc>
          <w:tcPr>
            <w:tcW w:type="dxa" w:w="1077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Prio. / Ver.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RNF-USO-001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Incertidumbre siempre visible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proyecciones presentadas como valor puntual sin su intervalo de predicción, tanto en la interfaz como en las exportaciones.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RNF-USO-002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Advertencia de uso no clínico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El </w:t>
            </w:r>
            <w:r>
              <w:rPr>
                <w:b/>
                <w:sz w:val="17"/>
              </w:rPr>
              <w:t>100 %</w:t>
            </w:r>
            <w:r>
              <w:rPr>
                <w:sz w:val="17"/>
              </w:rPr>
              <w:t xml:space="preserve"> de las vistas analíticas y de los archivos exportados incluye la declaración de que el sistema apoya la planificación y no sustituye el juicio clínico ni orienta decisiones sobre personas.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RNF-USO-003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Prevención de reidentificación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Ninguna vista, exportación o endpoint publica celdas cuyo recuento sea inferior al umbral mínimo definido para desagregaciones cruzadas; los valores suprimidos se señalan como tales.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RNF-USO-004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Prevención de interpretación indebida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Toda comparación territorial advierte que el volumen de atenciones refleja utilización y oferta instalada, no prevalencia poblacional.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RNF-USO-005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Lenguaje no estigmatizante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Las glosas y etiquetas visibles usan denominaciones diagnósticas oficiales y evitan formulaciones que atribuyan condiciones a territorios o comunidades.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RNF-USO-006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Distinción de la naturaleza de la afirmación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Hechos observados, inferencias e hipótesis se identifican de forma diferenciada en informes y vistas: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inferencias presentadas con el mismo estatus que un valor observado.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RNF-USO-007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Declaración de datos no determinables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Cuando una relación o causa no puede establecerse con los datos disponibles, el sistema lo declara explícitamente en lugar de estimarla o insinuarla.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5. Requisitos de calidad de datos (ISO/IEC 25012)</w:t>
      </w:r>
    </w:p>
    <w:p>
      <w:pPr>
        <w:jc w:val="both"/>
      </w:pPr>
      <w:r>
        <w:rPr>
          <w:sz w:val="21"/>
        </w:rPr>
        <w:t>El valor de SAAD depende íntegramente de la fidelidad de sus fuentes. Estos requisitos condicionan la publicación: un dato que no los satisface no se expone a los usuarios, aunque la funcionalidad opere correctamente.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134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175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4649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Métrica y valor objetivo</w:t>
            </w:r>
          </w:p>
        </w:tc>
        <w:tc>
          <w:tcPr>
            <w:tcW w:type="dxa" w:w="1077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Prio. / Ver.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RNF-DAT-001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Exactitud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discrepancias en los controles de consistencia definidos (total contra suma de tramos etarios; macro-agregador de salud mental contra suma de subcausas).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RNF-DAT-002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Completitud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0 %</w:t>
            </w:r>
            <w:r>
              <w:rPr>
                <w:sz w:val="17"/>
              </w:rPr>
              <w:t xml:space="preserve"> de nulos en identificadores clave; la cobertura geoespacial efectiva se reporta explícitamente en cada publicación, junto al detalle de los registros excluidos.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RNF-DAT-003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Consistencia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Esquema homogéneo en el </w:t>
            </w:r>
            <w:r>
              <w:rPr>
                <w:b/>
                <w:sz w:val="17"/>
              </w:rPr>
              <w:t>100 %</w:t>
            </w:r>
            <w:r>
              <w:rPr>
                <w:sz w:val="17"/>
              </w:rPr>
              <w:t xml:space="preserve"> de los períodos de una misma fuente: mismos nombres de columna, tipos y dominios.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RNF-DAT-004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Unicidad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duplicados exactos y </w:t>
            </w:r>
            <w:r>
              <w:rPr>
                <w:b/>
                <w:sz w:val="17"/>
              </w:rPr>
              <w:t>0</w:t>
            </w:r>
            <w:r>
              <w:rPr>
                <w:sz w:val="17"/>
              </w:rPr>
              <w:t xml:space="preserve"> duplicados en la llave natural de cada tabla publicada.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P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RNF-DAT-005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Credibilidad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El </w:t>
            </w:r>
            <w:r>
              <w:rPr>
                <w:b/>
                <w:sz w:val="17"/>
              </w:rPr>
              <w:t>100 %</w:t>
            </w:r>
            <w:r>
              <w:rPr>
                <w:sz w:val="17"/>
              </w:rPr>
              <w:t xml:space="preserve"> de las fuentes utilizadas es oficial y declara origen, fecha de descarga y versión; no se incorporan fuentes sin procedencia verificable.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RNF-DAT-006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Actualidad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La publicación vigente se actualiza dentro de los </w:t>
            </w:r>
            <w:r>
              <w:rPr>
                <w:b/>
                <w:sz w:val="17"/>
              </w:rPr>
              <w:t>30 días</w:t>
            </w:r>
            <w:r>
              <w:rPr>
                <w:sz w:val="17"/>
              </w:rPr>
              <w:t xml:space="preserve"> posteriores a la publicación oficial de una nueva fuente; la fecha de corte es visible en toda vista.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Debería / I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RNF-DAT-007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Trazabilidad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 xml:space="preserve">El </w:t>
            </w:r>
            <w:r>
              <w:rPr>
                <w:b/>
                <w:sz w:val="17"/>
              </w:rPr>
              <w:t>100 %</w:t>
            </w:r>
            <w:r>
              <w:rPr>
                <w:sz w:val="17"/>
              </w:rPr>
              <w:t xml:space="preserve"> de las tablas publicadas registra su linaje: fuente de origen, transformaciones aplicadas y ejecución que la generó.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c>
          <w:tcPr>
            <w:tcW w:type="dxa" w:w="113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7"/>
              </w:rPr>
              <w:t>RNF-DAT-008</w:t>
            </w:r>
          </w:p>
        </w:tc>
        <w:tc>
          <w:tcPr>
            <w:tcW w:type="dxa" w:w="3175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Comprensibilidad</w:t>
            </w:r>
          </w:p>
        </w:tc>
        <w:tc>
          <w:tcPr>
            <w:tcW w:type="dxa" w:w="4649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 xml:space="preserve">El </w:t>
            </w:r>
            <w:r>
              <w:rPr>
                <w:b/>
                <w:sz w:val="17"/>
              </w:rPr>
              <w:t>100 %</w:t>
            </w:r>
            <w:r>
              <w:rPr>
                <w:sz w:val="17"/>
              </w:rPr>
              <w:t xml:space="preserve"> de las variables expuestas está definido en el diccionario de datos, con tipo, dominio, granularidad y unidad.</w:t>
            </w:r>
          </w:p>
        </w:tc>
        <w:tc>
          <w:tcPr>
            <w:tcW w:type="dxa" w:w="1077"/>
            <w:shd w:val="clear" w:color="auto" w:fill="EAF0F6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b/>
                <w:sz w:val="17"/>
              </w:rPr>
              <w:t>RNF-DAT-009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>
              <w:rPr>
                <w:sz w:val="17"/>
              </w:rPr>
              <w:t>Conformidad de la interpretación temporal</w:t>
            </w:r>
          </w:p>
        </w:tc>
        <w:tc>
          <w:tcPr>
            <w:tcW w:type="dxa" w:w="4649"/>
          </w:tcPr>
          <w:p>
            <w:pPr>
              <w:spacing w:before="40" w:after="40"/>
            </w:pPr>
            <w:r>
              <w:rPr>
                <w:sz w:val="17"/>
              </w:rPr>
              <w:t>Todo período con captura incompleta o discontinuidad documentada se marca como no comparable en los datos publicados y en las vistas que lo incluyan.</w:t>
            </w:r>
          </w:p>
        </w:tc>
        <w:tc>
          <w:tcPr>
            <w:tcW w:type="dxa" w:w="1077"/>
          </w:tcPr>
          <w:p>
            <w:pPr>
              <w:spacing w:before="40" w:after="40"/>
            </w:pPr>
            <w:r>
              <w:rPr>
                <w:sz w:val="17"/>
              </w:rPr>
              <w:t>Debe / I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FF4E5"/>
          </w:tcPr>
          <w:p>
            <w:pPr>
              <w:spacing w:before="80" w:after="80"/>
            </w:pPr>
            <w:r>
              <w:rPr>
                <w:b/>
                <w:sz w:val="20"/>
              </w:rPr>
              <w:t>Relación con el ERF.</w:t>
            </w:r>
            <w:r>
              <w:rPr>
                <w:sz w:val="20"/>
              </w:rPr>
              <w:t xml:space="preserve"> Estos requisitos se materializan en los controles funcionales del módulo </w:t>
            </w:r>
            <w:r>
              <w:rPr>
                <w:rFonts w:ascii="Consolas" w:hAnsi="Consolas"/>
                <w:sz w:val="19"/>
              </w:rPr>
              <w:t>RF-CAL</w:t>
            </w:r>
            <w:r>
              <w:rPr>
                <w:sz w:val="20"/>
              </w:rPr>
              <w:t xml:space="preserve"> y en las reglas de negocio RN-01 a RN-11 del ERF. Este documento fija el umbral de aceptación; el ERF define el mecanismo que lo hace cumplir.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Restricciones</w:t>
      </w:r>
    </w:p>
    <w:p>
      <w:pPr>
        <w:pStyle w:val="Heading2"/>
      </w:pPr>
      <w:r>
        <w:t>6.1 Restricciones tecnológicas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964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386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Restricción</w:t>
            </w:r>
          </w:p>
        </w:tc>
        <w:tc>
          <w:tcPr>
            <w:tcW w:type="dxa" w:w="3685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964"/>
          </w:tcPr>
          <w:p>
            <w:pPr>
              <w:spacing w:before="40" w:after="40"/>
            </w:pPr>
            <w:r>
              <w:rPr>
                <w:b/>
                <w:sz w:val="18"/>
              </w:rPr>
              <w:t>RT-01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>
              <w:rPr>
                <w:sz w:val="18"/>
              </w:rPr>
              <w:t>Backend en Python con FastAPI; procesamiento de datos con el ecosistema Pandas/PyArrow.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8"/>
              </w:rPr>
              <w:t>Competencias del equipo y ecosistema analítico del proyecto.</w:t>
            </w:r>
          </w:p>
        </w:tc>
      </w:tr>
      <w:tr>
        <w:tc>
          <w:tcPr>
            <w:tcW w:type="dxa" w:w="96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8"/>
              </w:rPr>
              <w:t>RT-02</w:t>
            </w:r>
          </w:p>
        </w:tc>
        <w:tc>
          <w:tcPr>
            <w:tcW w:type="dxa" w:w="5386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Frontend en React con Tailwind CSS, Recharts para gráficos y React Leaflet para cartografía.</w:t>
            </w:r>
          </w:p>
        </w:tc>
        <w:tc>
          <w:tcPr>
            <w:tcW w:type="dxa" w:w="3685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Stack definido en la definición de proyecto (DEF-01).</w:t>
            </w:r>
          </w:p>
        </w:tc>
      </w:tr>
      <w:tr>
        <w:tc>
          <w:tcPr>
            <w:tcW w:type="dxa" w:w="964"/>
          </w:tcPr>
          <w:p>
            <w:pPr>
              <w:spacing w:before="40" w:after="40"/>
            </w:pPr>
            <w:r>
              <w:rPr>
                <w:b/>
                <w:sz w:val="18"/>
              </w:rPr>
              <w:t>RT-03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>
              <w:rPr>
                <w:sz w:val="18"/>
              </w:rPr>
              <w:t>Persistencia en PostgreSQL con extensión PostGIS.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8"/>
              </w:rPr>
              <w:t>Requerido por el análisis espacial de polígonos y rutas.</w:t>
            </w:r>
          </w:p>
        </w:tc>
      </w:tr>
      <w:tr>
        <w:tc>
          <w:tcPr>
            <w:tcW w:type="dxa" w:w="96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8"/>
              </w:rPr>
              <w:t>RT-04</w:t>
            </w:r>
          </w:p>
        </w:tc>
        <w:tc>
          <w:tcPr>
            <w:tcW w:type="dxa" w:w="5386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Empaquetado y despliegue mediante Docker Compose; entorno de desarrollo con WSL2.</w:t>
            </w:r>
          </w:p>
        </w:tc>
        <w:tc>
          <w:tcPr>
            <w:tcW w:type="dxa" w:w="3685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Reproducibilidad del entorno entre integrantes.</w:t>
            </w:r>
          </w:p>
        </w:tc>
      </w:tr>
      <w:tr>
        <w:tc>
          <w:tcPr>
            <w:tcW w:type="dxa" w:w="964"/>
          </w:tcPr>
          <w:p>
            <w:pPr>
              <w:spacing w:before="40" w:after="40"/>
            </w:pPr>
            <w:r>
              <w:rPr>
                <w:b/>
                <w:sz w:val="18"/>
              </w:rPr>
              <w:t>RT-05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>
              <w:rPr>
                <w:sz w:val="18"/>
              </w:rPr>
              <w:t>Control de versiones en Git/GitHub, con gestión ágil en GitHub Projects (Kanban).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8"/>
              </w:rPr>
              <w:t>Metodología declarada del proyecto.</w:t>
            </w:r>
          </w:p>
        </w:tc>
      </w:tr>
      <w:tr>
        <w:tc>
          <w:tcPr>
            <w:tcW w:type="dxa" w:w="96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8"/>
              </w:rPr>
              <w:t>RT-06</w:t>
            </w:r>
          </w:p>
        </w:tc>
        <w:tc>
          <w:tcPr>
            <w:tcW w:type="dxa" w:w="5386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Pruebas automatizadas con pytest.</w:t>
            </w:r>
          </w:p>
        </w:tc>
        <w:tc>
          <w:tcPr>
            <w:tcW w:type="dxa" w:w="3685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Regla técnica del proyecto (REG-01).</w:t>
            </w:r>
          </w:p>
        </w:tc>
      </w:tr>
      <w:tr>
        <w:tc>
          <w:tcPr>
            <w:tcW w:type="dxa" w:w="964"/>
          </w:tcPr>
          <w:p>
            <w:pPr>
              <w:spacing w:before="40" w:after="40"/>
            </w:pPr>
            <w:r>
              <w:rPr>
                <w:b/>
                <w:sz w:val="18"/>
              </w:rPr>
              <w:t>RT-07</w:t>
            </w:r>
          </w:p>
        </w:tc>
        <w:tc>
          <w:tcPr>
            <w:tcW w:type="dxa" w:w="5386"/>
          </w:tcPr>
          <w:p>
            <w:pPr>
              <w:spacing w:before="40" w:after="40"/>
            </w:pPr>
            <w:r>
              <w:rPr>
                <w:sz w:val="18"/>
              </w:rPr>
              <w:t xml:space="preserve">Las dependencias se registran de forma explícita y justificada en </w:t>
            </w:r>
            <w:r>
              <w:rPr>
                <w:rFonts w:ascii="Consolas" w:hAnsi="Consolas"/>
                <w:sz w:val="18"/>
              </w:rPr>
              <w:t>requirements.txt</w:t>
            </w:r>
            <w:r>
              <w:rPr>
                <w:sz w:val="18"/>
              </w:rPr>
              <w:t>.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8"/>
              </w:rPr>
              <w:t>Trazabilidad y reproducibilidad del entorno.</w:t>
            </w:r>
          </w:p>
        </w:tc>
      </w:tr>
    </w:tbl>
    <w:p>
      <w:pPr>
        <w:spacing w:after="80"/>
      </w:pPr>
    </w:p>
    <w:p>
      <w:pPr>
        <w:pStyle w:val="Heading2"/>
      </w:pPr>
      <w:r>
        <w:t>6.2 Restricciones normativas y de licenciamiento</w:t>
      </w:r>
    </w:p>
    <w:p>
      <w:pPr>
        <w:jc w:val="both"/>
      </w:pPr>
      <w:r>
        <w:rPr>
          <w:sz w:val="21"/>
        </w:rPr>
        <w:t xml:space="preserve">El proyecto no trata datos personales, por lo que su exposición normativa es acotada. No obstante, el marco aplicable se declara explícitamente y </w:t>
      </w:r>
      <w:r>
        <w:rPr>
          <w:b/>
          <w:sz w:val="21"/>
        </w:rPr>
        <w:t>debe validarse en cuanto a vigencia y aplicabilidad</w:t>
      </w:r>
      <w:r>
        <w:rPr>
          <w:sz w:val="21"/>
        </w:rPr>
        <w:t xml:space="preserve"> antes de la entrega final, dado que parte de la normativa chilena de protección de datos se encuentra en proceso de transición.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64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721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Marco o condición</w:t>
            </w:r>
          </w:p>
        </w:tc>
        <w:tc>
          <w:tcPr>
            <w:tcW w:type="dxa" w:w="4535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Implicancia para SAAD</w:t>
            </w:r>
          </w:p>
        </w:tc>
        <w:tc>
          <w:tcPr>
            <w:tcW w:type="dxa" w:w="1814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964"/>
          </w:tcPr>
          <w:p>
            <w:pPr>
              <w:spacing w:before="40" w:after="40"/>
            </w:pPr>
            <w:r>
              <w:rPr>
                <w:b/>
                <w:sz w:val="18"/>
              </w:rPr>
              <w:t>RN-L1</w:t>
            </w:r>
          </w:p>
        </w:tc>
        <w:tc>
          <w:tcPr>
            <w:tcW w:type="dxa" w:w="2721"/>
          </w:tcPr>
          <w:p>
            <w:pPr>
              <w:spacing w:before="40" w:after="40"/>
            </w:pPr>
            <w:r>
              <w:rPr>
                <w:sz w:val="18"/>
              </w:rPr>
              <w:t>Normativa chilena de protección de datos personales.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El sistema opera exclusivamente con datos agregados o disociados, sin tratamiento de datos personales; esta condición debe mantenerse en toda extensión futura.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18"/>
              </w:rPr>
              <w:t>Aplicable; verificar vigencia específica</w:t>
            </w:r>
          </w:p>
        </w:tc>
      </w:tr>
      <w:tr>
        <w:tc>
          <w:tcPr>
            <w:tcW w:type="dxa" w:w="96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8"/>
              </w:rPr>
              <w:t>RN-L2</w:t>
            </w:r>
          </w:p>
        </w:tc>
        <w:tc>
          <w:tcPr>
            <w:tcW w:type="dxa" w:w="2721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Normativa sobre derechos y deberes de los pacientes e información clínica.</w:t>
            </w:r>
          </w:p>
        </w:tc>
        <w:tc>
          <w:tcPr>
            <w:tcW w:type="dxa" w:w="4535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Se excluye del alcance el acceso a fichas clínicas y a información clínica identificable (FA-03 del ERF).</w:t>
            </w:r>
          </w:p>
        </w:tc>
        <w:tc>
          <w:tcPr>
            <w:tcW w:type="dxa" w:w="1814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Aplicable</w:t>
            </w:r>
          </w:p>
        </w:tc>
      </w:tr>
      <w:tr>
        <w:tc>
          <w:tcPr>
            <w:tcW w:type="dxa" w:w="964"/>
          </w:tcPr>
          <w:p>
            <w:pPr>
              <w:spacing w:before="40" w:after="40"/>
            </w:pPr>
            <w:r>
              <w:rPr>
                <w:b/>
                <w:sz w:val="18"/>
              </w:rPr>
              <w:t>RN-L3</w:t>
            </w:r>
          </w:p>
        </w:tc>
        <w:tc>
          <w:tcPr>
            <w:tcW w:type="dxa" w:w="2721"/>
          </w:tcPr>
          <w:p>
            <w:pPr>
              <w:spacing w:before="40" w:after="40"/>
            </w:pPr>
            <w:r>
              <w:rPr>
                <w:sz w:val="18"/>
              </w:rPr>
              <w:t>Condiciones de uso de los datos abiertos publicados por el DEIS/MINSAL.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Se cita la fuente, la fecha de descarga y la versión de cada base utilizada.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18"/>
              </w:rPr>
              <w:t>Aplicable</w:t>
            </w:r>
          </w:p>
        </w:tc>
      </w:tr>
      <w:tr>
        <w:tc>
          <w:tcPr>
            <w:tcW w:type="dxa" w:w="96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8"/>
              </w:rPr>
              <w:t>RN-L4</w:t>
            </w:r>
          </w:p>
        </w:tc>
        <w:tc>
          <w:tcPr>
            <w:tcW w:type="dxa" w:w="2721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Licencia de OpenStreetMap (ODbL).</w:t>
            </w:r>
          </w:p>
        </w:tc>
        <w:tc>
          <w:tcPr>
            <w:tcW w:type="dxa" w:w="4535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La atribución a OpenStreetMap y sus condiciones de licenciamiento deben respetarse en toda visualización y en las capas derivadas que se distribuyan.</w:t>
            </w:r>
          </w:p>
        </w:tc>
        <w:tc>
          <w:tcPr>
            <w:tcW w:type="dxa" w:w="1814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Aplicable</w:t>
            </w:r>
          </w:p>
        </w:tc>
      </w:tr>
      <w:tr>
        <w:tc>
          <w:tcPr>
            <w:tcW w:type="dxa" w:w="964"/>
          </w:tcPr>
          <w:p>
            <w:pPr>
              <w:spacing w:before="40" w:after="40"/>
            </w:pPr>
            <w:r>
              <w:rPr>
                <w:b/>
                <w:sz w:val="18"/>
              </w:rPr>
              <w:t>RN-L5</w:t>
            </w:r>
          </w:p>
        </w:tc>
        <w:tc>
          <w:tcPr>
            <w:tcW w:type="dxa" w:w="2721"/>
          </w:tcPr>
          <w:p>
            <w:pPr>
              <w:spacing w:before="40" w:after="40"/>
            </w:pPr>
            <w:r>
              <w:rPr>
                <w:sz w:val="18"/>
              </w:rPr>
              <w:t>Condiciones de uso del feed GTFS del transporte público.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8"/>
              </w:rPr>
              <w:t>Deben revisarse antes de redistribuir capas derivadas del feed.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sz w:val="18"/>
              </w:rPr>
              <w:t>Por validar</w:t>
            </w:r>
          </w:p>
        </w:tc>
      </w:tr>
      <w:tr>
        <w:tc>
          <w:tcPr>
            <w:tcW w:type="dxa" w:w="96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8"/>
              </w:rPr>
              <w:t>RN-L6</w:t>
            </w:r>
          </w:p>
        </w:tc>
        <w:tc>
          <w:tcPr>
            <w:tcW w:type="dxa" w:w="2721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Buenas prácticas de ciberseguridad para servicios públicos digitales.</w:t>
            </w:r>
          </w:p>
        </w:tc>
        <w:tc>
          <w:tcPr>
            <w:tcW w:type="dxa" w:w="4535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Se adoptan como referencia para los requisitos RNF-SEG, sin que el proyecto constituya un servicio institucional.</w:t>
            </w:r>
          </w:p>
        </w:tc>
        <w:tc>
          <w:tcPr>
            <w:tcW w:type="dxa" w:w="1814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Referencial</w:t>
            </w:r>
          </w:p>
        </w:tc>
      </w:tr>
    </w:tbl>
    <w:p>
      <w:pPr>
        <w:spacing w:after="80"/>
      </w:pPr>
    </w:p>
    <w:p>
      <w:pPr>
        <w:pStyle w:val="Heading2"/>
      </w:pPr>
      <w:r>
        <w:t>6.3 Restricciones organizacionales y académicas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964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819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Restricción</w:t>
            </w:r>
          </w:p>
        </w:tc>
        <w:tc>
          <w:tcPr>
            <w:tcW w:type="dxa" w:w="4252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Efecto sobre los requisitos</w:t>
            </w:r>
          </w:p>
        </w:tc>
      </w:tr>
      <w:tr>
        <w:tc>
          <w:tcPr>
            <w:tcW w:type="dxa" w:w="964"/>
          </w:tcPr>
          <w:p>
            <w:pPr>
              <w:spacing w:before="40" w:after="40"/>
            </w:pPr>
            <w:r>
              <w:rPr>
                <w:b/>
                <w:sz w:val="18"/>
              </w:rPr>
              <w:t>RO-01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  <w:t>Equipo de cuatro integrantes con dedicación parcial y calendario académico fijo (entrega final: 26-11-2026).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8"/>
              </w:rPr>
              <w:t>Los requisitos de prioridad *Podría* se ejecutan solo si el avance lo permite.</w:t>
            </w:r>
          </w:p>
        </w:tc>
      </w:tr>
      <w:tr>
        <w:tc>
          <w:tcPr>
            <w:tcW w:type="dxa" w:w="96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8"/>
              </w:rPr>
              <w:t>RO-02</w:t>
            </w:r>
          </w:p>
        </w:tc>
        <w:tc>
          <w:tcPr>
            <w:tcW w:type="dxa" w:w="4819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Sin presupuesto de infraestructura asignado.</w:t>
            </w:r>
          </w:p>
        </w:tc>
        <w:tc>
          <w:tcPr>
            <w:tcW w:type="dxa" w:w="4252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Las metas de disponibilidad y capacidad se fijan en niveles compatibles con alojamiento gratuito o local.</w:t>
            </w:r>
          </w:p>
        </w:tc>
      </w:tr>
      <w:tr>
        <w:tc>
          <w:tcPr>
            <w:tcW w:type="dxa" w:w="964"/>
          </w:tcPr>
          <w:p>
            <w:pPr>
              <w:spacing w:before="40" w:after="40"/>
            </w:pPr>
            <w:r>
              <w:rPr>
                <w:b/>
                <w:sz w:val="18"/>
              </w:rPr>
              <w:t>RO-03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  <w:t>Cliente piloto en proceso de confirmación.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8"/>
              </w:rPr>
              <w:t>Las metas de usabilidad se verifican con el número de participantes efectivamente disponible, documentando la limitación.</w:t>
            </w:r>
          </w:p>
        </w:tc>
      </w:tr>
      <w:tr>
        <w:tc>
          <w:tcPr>
            <w:tcW w:type="dxa" w:w="96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8"/>
              </w:rPr>
              <w:t>RO-04</w:t>
            </w:r>
          </w:p>
        </w:tc>
        <w:tc>
          <w:tcPr>
            <w:tcW w:type="dxa" w:w="4819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Metodología ágil con Kanban y construcción incremental.</w:t>
            </w:r>
          </w:p>
        </w:tc>
        <w:tc>
          <w:tcPr>
            <w:tcW w:type="dxa" w:w="4252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Los requisitos se verifican por incremento y no exclusivamente al cierre.</w:t>
            </w:r>
          </w:p>
        </w:tc>
      </w:tr>
    </w:tbl>
    <w:p>
      <w:pPr>
        <w:spacing w:after="80"/>
      </w:pPr>
    </w:p>
    <w:p>
      <w:pPr>
        <w:pStyle w:val="Heading2"/>
      </w:pPr>
      <w:r>
        <w:t>6.4 Restricciones derivadas de los datos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964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819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Restricción</w:t>
            </w:r>
          </w:p>
        </w:tc>
        <w:tc>
          <w:tcPr>
            <w:tcW w:type="dxa" w:w="4252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Efecto sobre los requisitos</w:t>
            </w:r>
          </w:p>
        </w:tc>
      </w:tr>
      <w:tr>
        <w:tc>
          <w:tcPr>
            <w:tcW w:type="dxa" w:w="964"/>
          </w:tcPr>
          <w:p>
            <w:pPr>
              <w:spacing w:before="40" w:after="40"/>
            </w:pPr>
            <w:r>
              <w:rPr>
                <w:b/>
                <w:sz w:val="18"/>
              </w:rPr>
              <w:t>RD-01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  <w:t>La serie de urgencias de salud mental es comparable a partir de 2021.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8"/>
              </w:rPr>
              <w:t>Limita la evaluación de estacionalidad y condiciona RNF-AFU-002 y RNF-DAT-009.</w:t>
            </w:r>
          </w:p>
        </w:tc>
      </w:tr>
      <w:tr>
        <w:tc>
          <w:tcPr>
            <w:tcW w:type="dxa" w:w="96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8"/>
              </w:rPr>
              <w:t>RD-02</w:t>
            </w:r>
          </w:p>
        </w:tc>
        <w:tc>
          <w:tcPr>
            <w:tcW w:type="dxa" w:w="4819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Los datos de urgencia son recuentos agregados por causa y establecimiento, no registros individuales.</w:t>
            </w:r>
          </w:p>
        </w:tc>
        <w:tc>
          <w:tcPr>
            <w:tcW w:type="dxa" w:w="4252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Impide requisitos de precisión a nivel de persona; sustenta FA-07 del ERF.</w:t>
            </w:r>
          </w:p>
        </w:tc>
      </w:tr>
      <w:tr>
        <w:tc>
          <w:tcPr>
            <w:tcW w:type="dxa" w:w="964"/>
          </w:tcPr>
          <w:p>
            <w:pPr>
              <w:spacing w:before="40" w:after="40"/>
            </w:pPr>
            <w:r>
              <w:rPr>
                <w:b/>
                <w:sz w:val="18"/>
              </w:rPr>
              <w:t>RD-03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  <w:t>La base de egresos no incluye el código de establecimiento individual.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8"/>
              </w:rPr>
              <w:t>Obliga al cruce ecológico y condiciona RNF-USO-004.</w:t>
            </w:r>
          </w:p>
        </w:tc>
      </w:tr>
      <w:tr>
        <w:tc>
          <w:tcPr>
            <w:tcW w:type="dxa" w:w="96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8"/>
              </w:rPr>
              <w:t>RD-04</w:t>
            </w:r>
          </w:p>
        </w:tc>
        <w:tc>
          <w:tcPr>
            <w:tcW w:type="dxa" w:w="4819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Un porcentaje de los establecimientos del maestro carece de coordenadas válidas.</w:t>
            </w:r>
          </w:p>
        </w:tc>
        <w:tc>
          <w:tcPr>
            <w:tcW w:type="dxa" w:w="4252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Condiciona la cobertura declarable en RNF-DAT-002 y las advertencias de RF-CAL-007.</w:t>
            </w:r>
          </w:p>
        </w:tc>
      </w:tr>
      <w:tr>
        <w:tc>
          <w:tcPr>
            <w:tcW w:type="dxa" w:w="964"/>
          </w:tcPr>
          <w:p>
            <w:pPr>
              <w:spacing w:before="40" w:after="40"/>
            </w:pPr>
            <w:r>
              <w:rPr>
                <w:b/>
                <w:sz w:val="18"/>
              </w:rPr>
              <w:t>RD-05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8"/>
              </w:rPr>
              <w:t>Los tramos etarios publicados son amplios.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8"/>
              </w:rPr>
              <w:t>Impide comprometer desagregación infanto-adolescente precisa.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7. Estrategia de verificación y evidencias</w:t>
      </w:r>
    </w:p>
    <w:p>
      <w:pPr>
        <w:jc w:val="both"/>
      </w:pPr>
      <w:r>
        <w:rPr>
          <w:sz w:val="21"/>
        </w:rPr>
        <w:t>Cada método de verificación se materializa en un tipo de evidencia específico, que se adjunta al plan y a los resultados de pruebas del proyecto.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474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835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Requisitos que lo utilizan</w:t>
            </w:r>
          </w:p>
        </w:tc>
        <w:tc>
          <w:tcPr>
            <w:tcW w:type="dxa" w:w="2835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Instrumento</w:t>
            </w:r>
          </w:p>
        </w:tc>
        <w:tc>
          <w:tcPr>
            <w:tcW w:type="dxa" w:w="2891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Evidencia esperada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>
              <w:rPr>
                <w:b/>
                <w:sz w:val="18"/>
              </w:rPr>
              <w:t>Prueba (P)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  <w:t>Desempeño, seguridad, calidad de datos, compatibilidad y cobertura de código.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  <w:t>Suite automatizada de pruebas, pruebas de carga, auditoría automatizada de accesibilidad y análisis de dependencias.</w:t>
            </w:r>
          </w:p>
        </w:tc>
        <w:tc>
          <w:tcPr>
            <w:tcW w:type="dxa" w:w="2891"/>
          </w:tcPr>
          <w:p>
            <w:pPr>
              <w:spacing w:before="40" w:after="40"/>
            </w:pPr>
            <w:r>
              <w:rPr>
                <w:sz w:val="18"/>
              </w:rPr>
              <w:t>Reporte de ejecución con métricas, fecha y entorno.</w:t>
            </w:r>
          </w:p>
        </w:tc>
      </w:tr>
      <w:tr>
        <w:tc>
          <w:tcPr>
            <w:tcW w:type="dxa" w:w="147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8"/>
              </w:rPr>
              <w:t>Análisis (A)</w:t>
            </w:r>
          </w:p>
        </w:tc>
        <w:tc>
          <w:tcPr>
            <w:tcW w:type="dxa" w:w="2835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Utilidad del modelo, escalabilidad, complejidad y cobertura de intervalos.</w:t>
            </w:r>
          </w:p>
        </w:tc>
        <w:tc>
          <w:tcPr>
            <w:tcW w:type="dxa" w:w="2835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Backtesting, cálculo de métricas y análisis estático.</w:t>
            </w:r>
          </w:p>
        </w:tc>
        <w:tc>
          <w:tcPr>
            <w:tcW w:type="dxa" w:w="2891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Informe con el cálculo reproducible y su interpretación.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>
              <w:rPr>
                <w:b/>
                <w:sz w:val="18"/>
              </w:rPr>
              <w:t>Demostración (D)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  <w:t>Usabilidad, degradación controlada, instalación e integración continua.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8"/>
              </w:rPr>
              <w:t>Sesión de validación con usuarios y ejecución guiada ante evaluador.</w:t>
            </w:r>
          </w:p>
        </w:tc>
        <w:tc>
          <w:tcPr>
            <w:tcW w:type="dxa" w:w="2891"/>
          </w:tcPr>
          <w:p>
            <w:pPr>
              <w:spacing w:before="40" w:after="40"/>
            </w:pPr>
            <w:r>
              <w:rPr>
                <w:sz w:val="18"/>
              </w:rPr>
              <w:t>Bitácora de sesión, resultados y grabación o registro fotográfico.</w:t>
            </w:r>
          </w:p>
        </w:tc>
      </w:tr>
      <w:tr>
        <w:tc>
          <w:tcPr>
            <w:tcW w:type="dxa" w:w="147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8"/>
              </w:rPr>
              <w:t>Inspección (I)</w:t>
            </w:r>
          </w:p>
        </w:tc>
        <w:tc>
          <w:tcPr>
            <w:tcW w:type="dxa" w:w="2835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Rigor documental, uso responsable, trazabilidad y estándares de código.</w:t>
            </w:r>
          </w:p>
        </w:tc>
        <w:tc>
          <w:tcPr>
            <w:tcW w:type="dxa" w:w="2835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Revisión de código, de esquema y de documentación por un integrante distinto del autor.</w:t>
            </w:r>
          </w:p>
        </w:tc>
        <w:tc>
          <w:tcPr>
            <w:tcW w:type="dxa" w:w="2891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Registro de revisión con hallazgos y su resolución.</w:t>
            </w:r>
          </w:p>
        </w:tc>
      </w:tr>
    </w:tbl>
    <w:p>
      <w:pPr>
        <w:spacing w:after="80"/>
      </w:pPr>
    </w:p>
    <w:p>
      <w:pPr>
        <w:jc w:val="both"/>
      </w:pPr>
      <w:r>
        <w:rPr>
          <w:b/>
          <w:sz w:val="21"/>
        </w:rPr>
        <w:t>Criterio de aceptación no funcional:</w:t>
      </w:r>
      <w:r>
        <w:rPr>
          <w:sz w:val="21"/>
        </w:rPr>
        <w:t xml:space="preserve"> el sistema se considera conforme cuando el </w:t>
      </w:r>
      <w:r>
        <w:rPr>
          <w:b/>
          <w:sz w:val="21"/>
        </w:rPr>
        <w:t>100 %</w:t>
      </w:r>
      <w:r>
        <w:rPr>
          <w:sz w:val="21"/>
        </w:rPr>
        <w:t xml:space="preserve"> de los requisitos de prioridad *Debe* de este documento ha sido verificado por su método declarado y sus resultados están registrados en el plan de pruebas del proyecto. Los requisitos *Debería* y *Podría* no verificados se documentan como limitación explícita en el informe final, con su justificación.</w:t>
      </w:r>
    </w:p>
    <w:p>
      <w:pPr>
        <w:pStyle w:val="Heading1"/>
      </w:pPr>
      <w:r>
        <w:t>8. Trazabilidad</w:t>
      </w:r>
    </w:p>
    <w:p>
      <w:pPr>
        <w:jc w:val="both"/>
      </w:pPr>
      <w:r>
        <w:rPr>
          <w:sz w:val="21"/>
        </w:rPr>
        <w:t>La tabla relaciona cada grupo de requisitos no funcionales con los requisitos funcionales y los objetivos del proyecto sobre los que actúa.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474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Grupo RNF</w:t>
            </w:r>
          </w:p>
        </w:tc>
        <w:tc>
          <w:tcPr>
            <w:tcW w:type="dxa" w:w="6520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Requisitos funcionales relacionados (ERF)</w:t>
            </w:r>
          </w:p>
        </w:tc>
        <w:tc>
          <w:tcPr>
            <w:tcW w:type="dxa" w:w="2041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Objetivo específico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>
              <w:rPr>
                <w:b/>
                <w:sz w:val="18"/>
              </w:rPr>
              <w:t>RNF-AFU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>
              <w:rPr>
                <w:sz w:val="18"/>
              </w:rPr>
              <w:t>RF-DEM-004 a RF-DEM-007; RF-CAL-003; RF-TRZ-002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8"/>
              </w:rPr>
              <w:t>OE2, OE3</w:t>
            </w:r>
          </w:p>
        </w:tc>
      </w:tr>
      <w:tr>
        <w:tc>
          <w:tcPr>
            <w:tcW w:type="dxa" w:w="147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8"/>
              </w:rPr>
              <w:t>RNF-EDE</w:t>
            </w:r>
          </w:p>
        </w:tc>
        <w:tc>
          <w:tcPr>
            <w:tcW w:type="dxa" w:w="6520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RF-ETL-005, RF-ETL-009; RF-ACC-002, RF-ACC-003; RF-VIS-002 a RF-VIS-004; RF-API-002, RF-API-007</w:t>
            </w:r>
          </w:p>
        </w:tc>
        <w:tc>
          <w:tcPr>
            <w:tcW w:type="dxa" w:w="2041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OE2, OE4, OE6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>
              <w:rPr>
                <w:b/>
                <w:sz w:val="18"/>
              </w:rPr>
              <w:t>RNF-CMP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>
              <w:rPr>
                <w:sz w:val="18"/>
              </w:rPr>
              <w:t>RF-API-001, RF-API-003; RF-ACC-007; RF-VIS-011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8"/>
              </w:rPr>
              <w:t>OE6</w:t>
            </w:r>
          </w:p>
        </w:tc>
      </w:tr>
      <w:tr>
        <w:tc>
          <w:tcPr>
            <w:tcW w:type="dxa" w:w="147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8"/>
              </w:rPr>
              <w:t>RNF-USA</w:t>
            </w:r>
          </w:p>
        </w:tc>
        <w:tc>
          <w:tcPr>
            <w:tcW w:type="dxa" w:w="6520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RF-VIS-001 a RF-VIS-011</w:t>
            </w:r>
          </w:p>
        </w:tc>
        <w:tc>
          <w:tcPr>
            <w:tcW w:type="dxa" w:w="2041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OE6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>
              <w:rPr>
                <w:b/>
                <w:sz w:val="18"/>
              </w:rPr>
              <w:t>RNF-FIA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>
              <w:rPr>
                <w:sz w:val="18"/>
              </w:rPr>
              <w:t>RF-ADM-003 a RF-ADM-007; RF-CAL-006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8"/>
              </w:rPr>
              <w:t>OE2, OE6</w:t>
            </w:r>
          </w:p>
        </w:tc>
      </w:tr>
      <w:tr>
        <w:tc>
          <w:tcPr>
            <w:tcW w:type="dxa" w:w="147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8"/>
              </w:rPr>
              <w:t>RNF-SEG</w:t>
            </w:r>
          </w:p>
        </w:tc>
        <w:tc>
          <w:tcPr>
            <w:tcW w:type="dxa" w:w="6520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RF-ADM-001, RF-ADM-002; RF-API-006; RF-HOS-005</w:t>
            </w:r>
          </w:p>
        </w:tc>
        <w:tc>
          <w:tcPr>
            <w:tcW w:type="dxa" w:w="2041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OE6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>
              <w:rPr>
                <w:b/>
                <w:sz w:val="18"/>
              </w:rPr>
              <w:t>RNF-MAN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>
              <w:rPr>
                <w:sz w:val="18"/>
              </w:rPr>
              <w:t>RF-ETL-009; RF-TRZ-001, RF-TRZ-005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8"/>
              </w:rPr>
              <w:t>OE2, OE6</w:t>
            </w:r>
          </w:p>
        </w:tc>
      </w:tr>
      <w:tr>
        <w:tc>
          <w:tcPr>
            <w:tcW w:type="dxa" w:w="147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8"/>
              </w:rPr>
              <w:t>RNF-FLE</w:t>
            </w:r>
          </w:p>
        </w:tc>
        <w:tc>
          <w:tcPr>
            <w:tcW w:type="dxa" w:w="6520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RF-ETL-014; RF-DEM-010; RF-ACC-008</w:t>
            </w:r>
          </w:p>
        </w:tc>
        <w:tc>
          <w:tcPr>
            <w:tcW w:type="dxa" w:w="2041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OE2, OE3, OE4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</w:pPr>
            <w:r>
              <w:rPr>
                <w:b/>
                <w:sz w:val="18"/>
              </w:rPr>
              <w:t>RNF-USO</w:t>
            </w:r>
          </w:p>
        </w:tc>
        <w:tc>
          <w:tcPr>
            <w:tcW w:type="dxa" w:w="6520"/>
          </w:tcPr>
          <w:p>
            <w:pPr>
              <w:spacing w:before="40" w:after="40"/>
            </w:pPr>
            <w:r>
              <w:rPr>
                <w:sz w:val="18"/>
              </w:rPr>
              <w:t>RF-DEM-003, RF-DEM-008; RF-HOS-005, RF-HOS-006; RF-VIS-008; RF-TRZ-003, RF-TRZ-004</w:t>
            </w:r>
          </w:p>
        </w:tc>
        <w:tc>
          <w:tcPr>
            <w:tcW w:type="dxa" w:w="2041"/>
          </w:tcPr>
          <w:p>
            <w:pPr>
              <w:spacing w:before="40" w:after="40"/>
            </w:pPr>
            <w:r>
              <w:rPr>
                <w:sz w:val="18"/>
              </w:rPr>
              <w:t>OE5, OE6</w:t>
            </w:r>
          </w:p>
        </w:tc>
      </w:tr>
      <w:tr>
        <w:tc>
          <w:tcPr>
            <w:tcW w:type="dxa" w:w="1474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8"/>
              </w:rPr>
              <w:t>RNF-DAT</w:t>
            </w:r>
          </w:p>
        </w:tc>
        <w:tc>
          <w:tcPr>
            <w:tcW w:type="dxa" w:w="6520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RF-CAL-001 a RF-CAL-010; RF-ETL-002 a RF-ETL-004; RF-TRZ-001</w:t>
            </w:r>
          </w:p>
        </w:tc>
        <w:tc>
          <w:tcPr>
            <w:tcW w:type="dxa" w:w="2041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OE2</w:t>
            </w:r>
          </w:p>
        </w:tc>
      </w:tr>
    </w:tbl>
    <w:p>
      <w:pPr>
        <w:spacing w:after="80"/>
      </w:pPr>
    </w:p>
    <w:p>
      <w:pPr>
        <w:pStyle w:val="Heading1"/>
      </w:pPr>
      <w:r>
        <w:t>9. Riesgos asociados a los atributos de calidad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850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948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Riesgo</w:t>
            </w:r>
          </w:p>
        </w:tc>
        <w:tc>
          <w:tcPr>
            <w:tcW w:type="dxa" w:w="1928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Requisito afectado</w:t>
            </w:r>
          </w:p>
        </w:tc>
        <w:tc>
          <w:tcPr>
            <w:tcW w:type="dxa" w:w="4309"/>
            <w:shd w:val="clear" w:color="auto" w:fill="1F3B63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Mitigación comprometida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b/>
                <w:sz w:val="18"/>
              </w:rPr>
              <w:t>RQ-01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8"/>
              </w:rPr>
              <w:t>El costo de cómputo geoespacial excede el tiempo disponible.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sz w:val="18"/>
              </w:rPr>
              <w:t>RNF-EDE-007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>
              <w:rPr>
                <w:sz w:val="18"/>
              </w:rPr>
              <w:t>Precálculo fuera de línea, reducción de umbrales y simplificación documentada de geometrías.</w:t>
            </w:r>
          </w:p>
        </w:tc>
      </w:tr>
      <w:tr>
        <w:tc>
          <w:tcPr>
            <w:tcW w:type="dxa" w:w="850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8"/>
              </w:rPr>
              <w:t>RQ-02</w:t>
            </w:r>
          </w:p>
        </w:tc>
        <w:tc>
          <w:tcPr>
            <w:tcW w:type="dxa" w:w="2948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El feed GTFS no está disponible o es inconsistente.</w:t>
            </w:r>
          </w:p>
        </w:tc>
        <w:tc>
          <w:tcPr>
            <w:tcW w:type="dxa" w:w="1928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RNF-EDE-007, RNF-CMP-004</w:t>
            </w:r>
          </w:p>
        </w:tc>
        <w:tc>
          <w:tcPr>
            <w:tcW w:type="dxa" w:w="4309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Degradar el análisis a red vial, declarando explícitamente la sustitución (SD-03 del ERF).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b/>
                <w:sz w:val="18"/>
              </w:rPr>
              <w:t>RQ-03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8"/>
              </w:rPr>
              <w:t>La longitud de la serie impide superar al baseline.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sz w:val="18"/>
              </w:rPr>
              <w:t>RNF-AFU-002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>
              <w:rPr>
                <w:sz w:val="18"/>
              </w:rPr>
              <w:t>No publicar el modelo, informar el resultado y mantener la vista descriptiva con datos observados.</w:t>
            </w:r>
          </w:p>
        </w:tc>
      </w:tr>
      <w:tr>
        <w:tc>
          <w:tcPr>
            <w:tcW w:type="dxa" w:w="850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8"/>
              </w:rPr>
              <w:t>RQ-04</w:t>
            </w:r>
          </w:p>
        </w:tc>
        <w:tc>
          <w:tcPr>
            <w:tcW w:type="dxa" w:w="2948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No se dispone de suficientes participantes para la prueba de usabilidad.</w:t>
            </w:r>
          </w:p>
        </w:tc>
        <w:tc>
          <w:tcPr>
            <w:tcW w:type="dxa" w:w="1928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RNF-USA-001, RNF-USA-002</w:t>
            </w:r>
          </w:p>
        </w:tc>
        <w:tc>
          <w:tcPr>
            <w:tcW w:type="dxa" w:w="4309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Reducir la muestra documentando la limitación y complementar con revisión heurística.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b/>
                <w:sz w:val="18"/>
              </w:rPr>
              <w:t>RQ-05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8"/>
              </w:rPr>
              <w:t>Las metas de disponibilidad no son alcanzables sin infraestructura pagada.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sz w:val="18"/>
              </w:rPr>
              <w:t>RNF-FIA-001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>
              <w:rPr>
                <w:sz w:val="18"/>
              </w:rPr>
              <w:t>Acordar con la docente una ventana de disponibilidad acotada al período de validación.</w:t>
            </w:r>
          </w:p>
        </w:tc>
      </w:tr>
      <w:tr>
        <w:tc>
          <w:tcPr>
            <w:tcW w:type="dxa" w:w="850"/>
            <w:shd w:val="clear" w:color="auto" w:fill="EAF0F6"/>
          </w:tcPr>
          <w:p>
            <w:pPr>
              <w:spacing w:before="40" w:after="40"/>
            </w:pPr>
            <w:r>
              <w:rPr>
                <w:b/>
                <w:sz w:val="18"/>
              </w:rPr>
              <w:t>RQ-06</w:t>
            </w:r>
          </w:p>
        </w:tc>
        <w:tc>
          <w:tcPr>
            <w:tcW w:type="dxa" w:w="2948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Sobreinterpretación de los resultados por parte de un usuario.</w:t>
            </w:r>
          </w:p>
        </w:tc>
        <w:tc>
          <w:tcPr>
            <w:tcW w:type="dxa" w:w="1928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RNF-USO-001 a RNF-USO-007</w:t>
            </w:r>
          </w:p>
        </w:tc>
        <w:tc>
          <w:tcPr>
            <w:tcW w:type="dxa" w:w="4309"/>
            <w:shd w:val="clear" w:color="auto" w:fill="EAF0F6"/>
          </w:tcPr>
          <w:p>
            <w:pPr>
              <w:spacing w:before="40" w:after="40"/>
            </w:pPr>
            <w:r>
              <w:rPr>
                <w:sz w:val="18"/>
              </w:rPr>
              <w:t>Advertencias obligatorias en vistas y exportaciones, más validación de comprensión en la sesión con usuarios.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b/>
                <w:sz w:val="18"/>
              </w:rPr>
              <w:t>RQ-07</w:t>
            </w:r>
          </w:p>
        </w:tc>
        <w:tc>
          <w:tcPr>
            <w:tcW w:type="dxa" w:w="2948"/>
          </w:tcPr>
          <w:p>
            <w:pPr>
              <w:spacing w:before="40" w:after="40"/>
            </w:pPr>
            <w:r>
              <w:rPr>
                <w:sz w:val="18"/>
              </w:rPr>
              <w:t>Cambio de esquema en una publicación oficial futura.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sz w:val="18"/>
              </w:rPr>
              <w:t>RNF-DAT-003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>
              <w:rPr>
                <w:sz w:val="18"/>
              </w:rPr>
              <w:t>Validación de esquema bloqueante y auditoría de la nueva fuente antes de publicar.</w:t>
            </w:r>
          </w:p>
        </w:tc>
      </w:tr>
    </w:tbl>
    <w:p>
      <w:pPr>
        <w:spacing w:after="80"/>
      </w:pPr>
    </w:p>
    <w:p>
      <w:pPr>
        <w:pStyle w:val="Heading1"/>
      </w:pPr>
      <w:r>
        <w:t>10. Control de cambios</w:t>
      </w:r>
    </w:p>
    <w:p>
      <w:pPr>
        <w:pStyle w:val="ListNumber"/>
        <w:spacing w:after="60"/>
      </w:pPr>
      <w:r>
        <w:rPr>
          <w:sz w:val="21"/>
        </w:rPr>
        <w:t xml:space="preserve">Toda modificación de un requisito no funcional aprobado se solicita mediante una incidencia etiquetada </w:t>
      </w:r>
      <w:r>
        <w:rPr>
          <w:rFonts w:ascii="Consolas" w:hAnsi="Consolas"/>
          <w:sz w:val="20"/>
        </w:rPr>
        <w:t>requisito</w:t>
      </w:r>
      <w:r>
        <w:rPr>
          <w:sz w:val="21"/>
        </w:rPr>
        <w:t>, indicando identificador, valor objetivo actual, valor propuesto y evidencia que justifica el cambio.</w:t>
      </w:r>
    </w:p>
    <w:p>
      <w:pPr>
        <w:pStyle w:val="ListNumber"/>
        <w:spacing w:after="60"/>
      </w:pPr>
      <w:r>
        <w:rPr>
          <w:sz w:val="21"/>
        </w:rPr>
        <w:t>Un valor objetivo solo se relaja cuando existe evidencia de medición que demuestre su inviabilidad en el entorno de referencia; la evidencia se adjunta a la solicitud.</w:t>
      </w:r>
    </w:p>
    <w:p>
      <w:pPr>
        <w:pStyle w:val="ListNumber"/>
        <w:spacing w:after="60"/>
      </w:pPr>
      <w:r>
        <w:rPr>
          <w:sz w:val="21"/>
        </w:rPr>
        <w:t>Los cambios aprobados se registran en el historial de versiones de este documento y se comunican a la docente en la instancia de avance más próxima.</w:t>
      </w:r>
    </w:p>
    <w:p>
      <w:pPr>
        <w:pStyle w:val="ListNumber"/>
        <w:spacing w:after="60"/>
      </w:pPr>
      <w:r>
        <w:rPr>
          <w:sz w:val="21"/>
        </w:rPr>
        <w:t>Los requisitos no verificados al cierre se documentan como limitación explícita en el informe final, junto con su causa y su impacto.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FF4E5"/>
          </w:tcPr>
          <w:p>
            <w:pPr>
              <w:spacing w:before="80" w:after="80"/>
            </w:pPr>
            <w:r>
              <w:rPr>
                <w:b/>
                <w:sz w:val="20"/>
              </w:rPr>
              <w:t>Documento complementario:</w:t>
            </w:r>
            <w:r>
              <w:rPr>
                <w:sz w:val="20"/>
              </w:rPr>
              <w:t xml:space="preserve"> Especificación de Requisitos Funcionales (ERF-SAAD-2026), disponible en </w:t>
            </w:r>
            <w:r>
              <w:rPr>
                <w:rFonts w:ascii="Consolas" w:hAnsi="Consolas"/>
                <w:sz w:val="19"/>
              </w:rPr>
              <w:t>docs/06-requisitos/Especificacion_Requisitos_Funcionales.docx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47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ERNF-SAAD-2026 · Especificación de Requisitos No Funcionales · v1.0  |  Página </w:t>
    </w:r>
    <w:r>
      <w:rPr>
        <w:color w:val="595959"/>
        <w:sz w:val="16"/>
      </w:rPr>
      <w:fldChar w:fldCharType="begin"/>
      <w:instrText xml:space="preserve"> PAGE </w:instrText>
      <w:fldChar w:fldCharType="separate"/>
      <w:fldChar w:fldCharType="end"/>
    </w:r>
    <w:r>
      <w:rPr>
        <w:color w:val="595959"/>
        <w:sz w:val="16"/>
      </w:rPr>
      <w:t xml:space="preserve"> de </w:t>
    </w:r>
    <w:r>
      <w:rPr>
        <w:color w:val="595959"/>
        <w:sz w:val="16"/>
      </w:rPr>
      <w:fldChar w:fldCharType="begin"/>
      <w:instrText xml:space="preserve"> NUMPAGES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