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8.13694953918457" w:lineRule="auto"/>
        <w:ind w:right="231.3232421875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Redes Neuronales 2026</w:t>
      </w:r>
    </w:p>
    <w:p w:rsidR="00000000" w:rsidDel="00000000" w:rsidP="00000000" w:rsidRDefault="00000000" w:rsidRPr="00000000" w14:paraId="00000002">
      <w:pPr>
        <w:widowControl w:val="0"/>
        <w:spacing w:line="368.13694953918457" w:lineRule="auto"/>
        <w:ind w:right="231.3232421875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Facultad de Matemática, Astronomía, Física y Computación </w:t>
      </w:r>
    </w:p>
    <w:p w:rsidR="00000000" w:rsidDel="00000000" w:rsidP="00000000" w:rsidRDefault="00000000" w:rsidRPr="00000000" w14:paraId="00000003">
      <w:pPr>
        <w:widowControl w:val="0"/>
        <w:spacing w:line="368.13694953918457" w:lineRule="auto"/>
        <w:ind w:right="231.3232421875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Universidad Nacional de Córdoba </w:t>
      </w:r>
    </w:p>
    <w:p w:rsidR="00000000" w:rsidDel="00000000" w:rsidP="00000000" w:rsidRDefault="00000000" w:rsidRPr="00000000" w14:paraId="00000004">
      <w:pPr>
        <w:pStyle w:val="Heading1"/>
        <w:spacing w:after="0" w:before="0" w:line="480" w:lineRule="auto"/>
        <w:ind w:left="720"/>
        <w:jc w:val="cente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d7wzlvsrl44m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Trabajo Práctico 1</w:t>
      </w:r>
    </w:p>
    <w:p w:rsidR="00000000" w:rsidDel="00000000" w:rsidP="00000000" w:rsidRDefault="00000000" w:rsidRPr="00000000" w14:paraId="00000005">
      <w:pPr>
        <w:pStyle w:val="Heading1"/>
        <w:spacing w:after="0" w:before="0" w:line="480" w:lineRule="auto"/>
        <w:ind w:left="720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v0qcmkn80p6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0" w:before="0" w:line="480" w:lineRule="auto"/>
        <w:ind w:left="720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7wnop5vu4t0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0" w:before="0" w:line="480" w:lineRule="auto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dz61yr1np7v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0" w:before="0" w:line="480" w:lineRule="auto"/>
        <w:ind w:left="720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h32yrng4xuz9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Título</w:t>
      </w:r>
    </w:p>
    <w:p w:rsidR="00000000" w:rsidDel="00000000" w:rsidP="00000000" w:rsidRDefault="00000000" w:rsidRPr="00000000" w14:paraId="00000009">
      <w:pPr>
        <w:pStyle w:val="Heading1"/>
        <w:spacing w:after="0" w:before="0" w:line="480" w:lineRule="auto"/>
        <w:ind w:left="720"/>
        <w:jc w:val="center"/>
        <w:rPr>
          <w:sz w:val="28"/>
          <w:szCs w:val="28"/>
        </w:rPr>
      </w:pPr>
      <w:bookmarkStart w:colFirst="0" w:colLast="0" w:name="_q8b8xo2tr66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0" w:before="0" w:line="480" w:lineRule="auto"/>
        <w:ind w:left="720"/>
        <w:jc w:val="center"/>
        <w:rPr>
          <w:sz w:val="28"/>
          <w:szCs w:val="28"/>
        </w:rPr>
      </w:pPr>
      <w:bookmarkStart w:colFirst="0" w:colLast="0" w:name="_ejr637ruk9u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0" w:before="0" w:line="480" w:lineRule="auto"/>
        <w:ind w:left="720"/>
        <w:jc w:val="both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bookmarkStart w:colFirst="0" w:colLast="0" w:name="_5kbka7d3lnvy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Docentes: </w:t>
      </w:r>
    </w:p>
    <w:p w:rsidR="00000000" w:rsidDel="00000000" w:rsidP="00000000" w:rsidRDefault="00000000" w:rsidRPr="00000000" w14:paraId="0000000D">
      <w:pPr>
        <w:pStyle w:val="Heading1"/>
        <w:spacing w:after="0" w:before="0" w:line="480" w:lineRule="auto"/>
        <w:ind w:left="720"/>
        <w:jc w:val="both"/>
        <w:rPr>
          <w:rFonts w:ascii="Times New Roman" w:cs="Times New Roman" w:eastAsia="Times New Roman" w:hAnsi="Times New Roman"/>
          <w:b w:val="0"/>
          <w:bCs w:val="0"/>
          <w:sz w:val="26"/>
          <w:szCs w:val="26"/>
        </w:rPr>
      </w:pPr>
      <w:bookmarkStart w:colFirst="0" w:colLast="0" w:name="_dmdj73fpqi4p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Autores: </w:t>
      </w:r>
    </w:p>
    <w:p w:rsidR="00000000" w:rsidDel="00000000" w:rsidP="00000000" w:rsidRDefault="00000000" w:rsidRPr="00000000" w14:paraId="0000000E">
      <w:pPr>
        <w:pStyle w:val="Heading1"/>
        <w:spacing w:after="0" w:before="0" w:line="480" w:lineRule="auto"/>
        <w:ind w:left="720"/>
        <w:jc w:val="center"/>
        <w:rPr>
          <w:sz w:val="28"/>
          <w:szCs w:val="28"/>
        </w:rPr>
      </w:pPr>
      <w:bookmarkStart w:colFirst="0" w:colLast="0" w:name="_ux57kf7d64j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Subtitle"/>
        <w:spacing w:after="0" w:before="0" w:line="48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lg0htpmedi09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Resumen</w:t>
      </w:r>
    </w:p>
    <w:p w:rsidR="00000000" w:rsidDel="00000000" w:rsidP="00000000" w:rsidRDefault="00000000" w:rsidRPr="00000000" w14:paraId="00000011">
      <w:pPr>
        <w:pStyle w:val="Subtitle"/>
        <w:spacing w:after="0" w:before="0" w:line="480" w:lineRule="auto"/>
        <w:ind w:left="720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2llkqfxpxp9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Subtitle"/>
        <w:spacing w:after="0" w:before="0" w:line="480" w:lineRule="auto"/>
        <w:ind w:left="720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rk465g8zwor3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spacing w:after="0" w:before="0" w:line="480" w:lineRule="auto"/>
        <w:ind w:left="720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g3ijahivost8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14">
      <w:pPr>
        <w:pStyle w:val="Subtitle"/>
        <w:spacing w:after="0" w:before="0" w:lineRule="auto"/>
        <w:jc w:val="both"/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  <w:shd w:fill="f4cccc" w:val="clear"/>
        </w:rPr>
      </w:pPr>
      <w:bookmarkStart w:colFirst="0" w:colLast="0" w:name="_1w69wvoghy1e" w:id="14"/>
      <w:bookmarkEnd w:id="14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  <w:rtl w:val="0"/>
        </w:rPr>
        <w:t xml:space="preserve">La modelización matemática y computacional constituye una herramienta fundamental para estudiar el funcionamiento del sistema nervioso. Al integrar conocimientos de las neurociencias, la matemática y la física, permite describir la actividad neuronal y explorar los mecanismos que la sustentan. Como señalan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color w:val="000000"/>
            <w:sz w:val="26"/>
            <w:szCs w:val="26"/>
            <w:rtl w:val="0"/>
          </w:rPr>
          <w:t xml:space="preserve">Dayan y Abbott (2001)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  <w:rtl w:val="0"/>
        </w:rPr>
        <w:t xml:space="preserve">, un modelo más detallado no es necesariamente superior. Los modelos deben actuar como puentes entre niveles de comprensión, incorporando suficiente detalle para vincularse con los mecanismos biológicos y manteniendo la simplicidad necesaria para obtener resultados claros.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Subtitle"/>
        <w:spacing w:after="0" w:before="0" w:lineRule="auto"/>
        <w:jc w:val="both"/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</w:rPr>
      </w:pPr>
      <w:bookmarkStart w:colFirst="0" w:colLast="0" w:name="_zcdsl0zaq0lg" w:id="15"/>
      <w:bookmarkEnd w:id="15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  <w:rtl w:val="0"/>
        </w:rPr>
        <w:t xml:space="preserve">Este equilibrio entre detalle y simplicidad puede observarse en los modelos de neuronas de disparo, que representan matemáticamente la evolución del potencial de membrana y la generación de potenciales de acción en respuesta a corrientes de entrada. Los modelos Integrate-and-Fire, derivados de la propuesta de Lapicque (1907), describen la integración de las corrientes de entrada y representan el disparo mediante un umbral y un posterior reseteo del potencial de membrana. Al omitir la descripción detallada del potencial de acción, facilitan el análisis matemático y reducen el costo computacional de las simulaciones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color w:val="000000"/>
            <w:sz w:val="26"/>
            <w:szCs w:val="26"/>
            <w:rtl w:val="0"/>
          </w:rPr>
          <w:t xml:space="preserve">(Dayan &amp; Abbott, 2001)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  <w:rtl w:val="0"/>
        </w:rPr>
        <w:t xml:space="preserve">. Por su parte, el modelo de Hodgkin–Huxley incorpora una descripción explícita de las conductancias de sodio y potasio dependientes del voltaje, lo que permite representar la generación y la evolución temporal del potencial de acción . Este mayor detalle requiere resolver un sistema de ecuaciones más complejo y aumenta el costo computacional respecto del modelo Integrate-and-Fire.</w:t>
      </w:r>
    </w:p>
    <w:p w:rsidR="00000000" w:rsidDel="00000000" w:rsidP="00000000" w:rsidRDefault="00000000" w:rsidRPr="00000000" w14:paraId="00000016">
      <w:pPr>
        <w:pStyle w:val="Subtitle"/>
        <w:spacing w:after="0" w:before="0" w:lineRule="auto"/>
        <w:jc w:val="both"/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</w:rPr>
      </w:pPr>
      <w:bookmarkStart w:colFirst="0" w:colLast="0" w:name="_64dvnydo8yzl" w:id="16"/>
      <w:bookmarkEnd w:id="16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  <w:shd w:fill="f4cc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Subtitle"/>
        <w:spacing w:after="0" w:before="0" w:line="480" w:lineRule="auto"/>
        <w:ind w:left="720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o0l56d6z0yqe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Subtitle"/>
        <w:spacing w:after="0" w:before="0" w:line="480" w:lineRule="auto"/>
        <w:ind w:left="720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1m2wt95ie43n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Teoría</w:t>
      </w:r>
    </w:p>
    <w:p w:rsidR="00000000" w:rsidDel="00000000" w:rsidP="00000000" w:rsidRDefault="00000000" w:rsidRPr="00000000" w14:paraId="00000019">
      <w:pPr>
        <w:pStyle w:val="Subtitle"/>
        <w:spacing w:after="0" w:before="0" w:line="480" w:lineRule="auto"/>
        <w:ind w:left="720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92p1ofbrikx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Subtitle"/>
        <w:spacing w:after="0" w:before="0" w:line="480" w:lineRule="auto"/>
        <w:ind w:left="720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xpe08trlr9mz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Resultados</w:t>
      </w:r>
    </w:p>
    <w:p w:rsidR="00000000" w:rsidDel="00000000" w:rsidP="00000000" w:rsidRDefault="00000000" w:rsidRPr="00000000" w14:paraId="0000001B">
      <w:pPr>
        <w:pStyle w:val="Subtitle"/>
        <w:spacing w:after="0" w:before="0" w:line="480" w:lineRule="auto"/>
        <w:ind w:left="720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bi9fd06cv5yu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Subtitle"/>
        <w:spacing w:after="0" w:before="0" w:line="480" w:lineRule="auto"/>
        <w:ind w:left="720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7w0a5vlnmio0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Discusión</w:t>
      </w:r>
    </w:p>
    <w:p w:rsidR="00000000" w:rsidDel="00000000" w:rsidP="00000000" w:rsidRDefault="00000000" w:rsidRPr="00000000" w14:paraId="0000001D">
      <w:pPr>
        <w:pStyle w:val="Subtitle"/>
        <w:spacing w:after="0" w:before="0" w:line="480" w:lineRule="auto"/>
        <w:ind w:left="720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cmx17r1tcfja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Subtitle"/>
        <w:spacing w:after="0" w:before="0" w:line="480" w:lineRule="auto"/>
        <w:ind w:left="720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cxit1uqkgya3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Referencias</w:t>
      </w:r>
    </w:p>
    <w:p w:rsidR="00000000" w:rsidDel="00000000" w:rsidP="00000000" w:rsidRDefault="00000000" w:rsidRPr="00000000" w14:paraId="0000001F">
      <w:pPr>
        <w:spacing w:after="200" w:line="360" w:lineRule="auto"/>
        <w:jc w:val="both"/>
        <w:rPr>
          <w:sz w:val="24"/>
          <w:szCs w:val="24"/>
        </w:rPr>
        <w:sectPr>
          <w:headerReference r:id="rId8" w:type="default"/>
          <w:headerReference r:id="rId9" w:type="first"/>
          <w:footerReference r:id="rId10" w:type="first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Subtitle"/>
        <w:spacing w:line="276" w:lineRule="auto"/>
        <w:ind w:left="0"/>
        <w:jc w:val="both"/>
        <w:rPr/>
      </w:pPr>
      <w:bookmarkStart w:colFirst="0" w:colLast="0" w:name="_rklt2jws1xg1" w:id="25"/>
      <w:bookmarkEnd w:id="25"/>
      <w:r w:rsidDel="00000000" w:rsidR="00000000" w:rsidRPr="00000000">
        <w:rPr>
          <w:b w:val="0"/>
          <w:bCs w:val="0"/>
          <w:shd w:fill="f4cccc" w:val="clear"/>
          <w:rtl w:val="0"/>
        </w:rPr>
        <w:t xml:space="preserve">El valor de estas abstracciones también se refleja en el desarrollo de redes neuronales artificiales que, a partir de representaciones simplificadas de algunos principios del procesamiento neuronal, han permitido construir sistemas capaces de aprender y reconocer patrones.</w:t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Style w:val="Heading1"/>
      <w:spacing w:after="0" w:before="0" w:line="480" w:lineRule="auto"/>
      <w:ind w:left="720"/>
      <w:jc w:val="center"/>
      <w:rPr>
        <w:sz w:val="28"/>
        <w:szCs w:val="28"/>
      </w:rPr>
    </w:pPr>
    <w:bookmarkStart w:colFirst="0" w:colLast="0" w:name="_t8hrbejzl70i" w:id="26"/>
    <w:bookmarkEnd w:id="26"/>
    <w:r w:rsidDel="00000000" w:rsidR="00000000" w:rsidRPr="00000000">
      <w:rPr>
        <w:sz w:val="28"/>
        <w:szCs w:val="28"/>
      </w:rPr>
      <w:drawing>
        <wp:inline distB="114300" distT="114300" distL="114300" distR="114300">
          <wp:extent cx="3883819" cy="1212887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83819" cy="121288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spacing w:after="200" w:line="36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spacing w:after="200" w:line="360" w:lineRule="auto"/>
      <w:jc w:val="both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_419"/>
      </w:rPr>
    </w:rPrDefault>
    <w:pPrDefault>
      <w:pPr>
        <w:spacing w:after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480" w:lineRule="auto"/>
      <w:ind w:left="72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480" w:lineRule="auto"/>
      <w:ind w:left="72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0" w:line="480" w:lineRule="auto"/>
      <w:ind w:left="720"/>
      <w:jc w:val="left"/>
    </w:pPr>
    <w:rPr>
      <w:rFonts w:ascii="Times New Roman" w:cs="Times New Roman" w:eastAsia="Times New Roman" w:hAnsi="Times New Roman"/>
      <w:b w:val="1"/>
      <w:bCs w:val="1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4.xml"/><Relationship Id="rId10" Type="http://schemas.openxmlformats.org/officeDocument/2006/relationships/footer" Target="footer1.xml"/><Relationship Id="rId13" Type="http://schemas.openxmlformats.org/officeDocument/2006/relationships/footer" Target="footer2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www.zotero.org/google-docs/?broken=6C1LDt" TargetMode="External"/><Relationship Id="rId7" Type="http://schemas.openxmlformats.org/officeDocument/2006/relationships/hyperlink" Target="https://www.zotero.org/google-docs/?F9A85z" TargetMode="Externa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