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Guía de Ejercicios — Resuelta</w:t>
      </w:r>
    </w:p>
    <w:p>
      <w:pPr>
        <w:spacing w:after="60"/>
      </w:pPr>
      <w:r>
        <w:rPr>
          <w:rFonts w:ascii="Calibri" w:cs="Calibri" w:eastAsia="Calibri" w:hAnsi="Calibri"/>
          <w:i/>
          <w:iCs/>
          <w:color w:val="444444"/>
          <w:sz w:val="24"/>
          <w:szCs w:val="24"/>
        </w:rPr>
        <w:t xml:space="preserve">Conceptos Previos y Medidas Características de una Distribución</w:t>
      </w:r>
    </w:p>
    <w:p>
      <w:pPr>
        <w:spacing w:after="300"/>
      </w:pPr>
      <w:r>
        <w:rPr>
          <w:rFonts w:ascii="Calibri" w:cs="Calibri" w:eastAsia="Calibri" w:hAnsi="Calibri"/>
          <w:color w:val="777777"/>
          <w:sz w:val="20"/>
          <w:szCs w:val="20"/>
        </w:rPr>
        <w:t xml:space="preserve">Estadística para Economistas I — Curso 2026-II · Repo: Cam_Est1</w:t>
      </w:r>
    </w:p>
    <w:p>
      <w:pPr>
        <w:spacing w:after="120"/>
      </w:pPr>
      <w:r>
        <w:rPr>
          <w:rFonts w:ascii="Calibri" w:cs="Calibri" w:eastAsia="Calibri" w:hAnsi="Calibri"/>
        </w:rPr>
        <w:t xml:space="preserve">Cada respuesta indica de dónde sale el concepto necesario para resolverla: de las diapositivas del profesor (Clase 01 o Clase 02) o del libro base. Cuando un tema no aparece en ningún material del curso, se indica explícitamente en una nota.</w:t>
      </w:r>
    </w:p>
    <w:p>
      <w:pPr>
        <w:pStyle w:val="Heading1"/>
        <w:spacing w:after="150" w:before="300"/>
      </w:pPr>
      <w:r>
        <w:t xml:space="preserve">Bloque I — Verdadero o Falso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2F5496" w:val="clear"/>
          </w:tcPr>
          <w:p>
            <w:r>
              <w:rPr>
                <w:rFonts w:ascii="Calibri" w:cs="Calibri" w:eastAsia="Calibri" w:hAnsi="Calibri"/>
                <w:b/>
                <w:bCs/>
                <w:color w:val="FFFFFF"/>
                <w:sz w:val="20"/>
                <w:szCs w:val="20"/>
              </w:rPr>
              <w:t xml:space="preserve">#</w:t>
            </w:r>
          </w:p>
        </w:tc>
        <w:tc>
          <w:tcPr>
            <w:tcW w:type="pct" w:w="6%"/>
            <w:shd w:fill="2F5496" w:val="clear"/>
          </w:tcPr>
          <w:p>
            <w:r>
              <w:rPr>
                <w:rFonts w:ascii="Calibri" w:cs="Calibri" w:eastAsia="Calibri" w:hAnsi="Calibri"/>
                <w:b/>
                <w:bCs/>
                <w:color w:val="FFFFFF"/>
                <w:sz w:val="20"/>
                <w:szCs w:val="20"/>
              </w:rPr>
              <w:t xml:space="preserve">V/F</w:t>
            </w:r>
          </w:p>
        </w:tc>
        <w:tc>
          <w:tcPr>
            <w:tcW w:type="pct" w:w="55%"/>
            <w:shd w:fill="2F5496" w:val="clear"/>
          </w:tcPr>
          <w:p>
            <w:r>
              <w:rPr>
                <w:rFonts w:ascii="Calibri" w:cs="Calibri" w:eastAsia="Calibri" w:hAnsi="Calibri"/>
                <w:b/>
                <w:bCs/>
                <w:color w:val="FFFFFF"/>
                <w:sz w:val="20"/>
                <w:szCs w:val="20"/>
              </w:rPr>
              <w:t xml:space="preserve">Justificación</w:t>
            </w:r>
          </w:p>
        </w:tc>
        <w:tc>
          <w:tcPr>
            <w:tcW w:type="pct" w:w="33%"/>
            <w:shd w:fill="2F5496" w:val="clear"/>
          </w:tcPr>
          <w:p>
            <w:r>
              <w:rPr>
                <w:rFonts w:ascii="Calibri" w:cs="Calibri" w:eastAsia="Calibri" w:hAnsi="Calibri"/>
                <w:b/>
                <w:bCs/>
                <w:color w:val="FFFFFF"/>
                <w:sz w:val="20"/>
                <w:szCs w:val="20"/>
              </w:rPr>
              <w:t xml:space="preserve">Fuente</w:t>
            </w:r>
          </w:p>
        </w:tc>
      </w:tr>
      <w:tr>
        <w:tc>
          <w:tcPr>
            <w:tcW w:type="pct" w:w="6%"/>
          </w:tcPr>
          <w:p>
            <w:r>
              <w:rPr>
                <w:rFonts w:ascii="Calibri" w:cs="Calibri" w:eastAsia="Calibri" w:hAnsi="Calibri"/>
                <w:b w:val="false"/>
                <w:bCs w:val="false"/>
                <w:sz w:val="19"/>
                <w:szCs w:val="19"/>
              </w:rPr>
              <w:t xml:space="preserve">1</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Esto describe a la estadística DESCRIPTIVA, no a la inferencial.</w:t>
            </w:r>
          </w:p>
        </w:tc>
        <w:tc>
          <w:tcPr>
            <w:tcW w:type="pct" w:w="33%"/>
          </w:tcPr>
          <w:p>
            <w:r>
              <w:rPr>
                <w:rFonts w:ascii="Calibri" w:cs="Calibri" w:eastAsia="Calibri" w:hAnsi="Calibri"/>
                <w:b w:val="false"/>
                <w:bCs w:val="false"/>
                <w:sz w:val="19"/>
                <w:szCs w:val="19"/>
              </w:rPr>
              <w:t xml:space="preserve">Clase 01 – "División de la Estadística"</w:t>
            </w:r>
          </w:p>
        </w:tc>
      </w:tr>
      <w:tr>
        <w:tc>
          <w:tcPr>
            <w:tcW w:type="pct" w:w="6%"/>
          </w:tcPr>
          <w:p>
            <w:r>
              <w:rPr>
                <w:rFonts w:ascii="Calibri" w:cs="Calibri" w:eastAsia="Calibri" w:hAnsi="Calibri"/>
                <w:b w:val="false"/>
                <w:bCs w:val="false"/>
                <w:sz w:val="19"/>
                <w:szCs w:val="19"/>
              </w:rPr>
              <w:t xml:space="preserve">2</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Coincide con la definición dada de población finita.</w:t>
            </w:r>
          </w:p>
        </w:tc>
        <w:tc>
          <w:tcPr>
            <w:tcW w:type="pct" w:w="33%"/>
          </w:tcPr>
          <w:p>
            <w:r>
              <w:rPr>
                <w:rFonts w:ascii="Calibri" w:cs="Calibri" w:eastAsia="Calibri" w:hAnsi="Calibri"/>
                <w:b w:val="false"/>
                <w:bCs w:val="false"/>
                <w:sz w:val="19"/>
                <w:szCs w:val="19"/>
              </w:rPr>
              <w:t xml:space="preserve">Clase 01 – "Conceptos generales"</w:t>
            </w:r>
          </w:p>
        </w:tc>
      </w:tr>
      <w:tr>
        <w:tc>
          <w:tcPr>
            <w:tcW w:type="pct" w:w="6%"/>
          </w:tcPr>
          <w:p>
            <w:r>
              <w:rPr>
                <w:rFonts w:ascii="Calibri" w:cs="Calibri" w:eastAsia="Calibri" w:hAnsi="Calibri"/>
                <w:b w:val="false"/>
                <w:bCs w:val="false"/>
                <w:sz w:val="19"/>
                <w:szCs w:val="19"/>
              </w:rPr>
              <w:t xml:space="preserve">3</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La media es ALTA sensibilidad a outliers (poco robusta), no robusta.</w:t>
            </w:r>
          </w:p>
        </w:tc>
        <w:tc>
          <w:tcPr>
            <w:tcW w:type="pct" w:w="33%"/>
          </w:tcPr>
          <w:p>
            <w:r>
              <w:rPr>
                <w:rFonts w:ascii="Calibri" w:cs="Calibri" w:eastAsia="Calibri" w:hAnsi="Calibri"/>
                <w:b w:val="false"/>
                <w:bCs w:val="false"/>
                <w:sz w:val="19"/>
                <w:szCs w:val="19"/>
              </w:rPr>
              <w:t xml:space="preserve">Clase 02 – tabla "Comparación de Medidas de Centralización"</w:t>
            </w:r>
          </w:p>
        </w:tc>
      </w:tr>
      <w:tr>
        <w:tc>
          <w:tcPr>
            <w:tcW w:type="pct" w:w="6%"/>
          </w:tcPr>
          <w:p>
            <w:r>
              <w:rPr>
                <w:rFonts w:ascii="Calibri" w:cs="Calibri" w:eastAsia="Calibri" w:hAnsi="Calibri"/>
                <w:b w:val="false"/>
                <w:bCs w:val="false"/>
                <w:sz w:val="19"/>
                <w:szCs w:val="19"/>
              </w:rPr>
              <w:t xml:space="preserve">4</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La varianza muestral usa denominador n−1 (cuasivarianza), no n.</w:t>
            </w:r>
          </w:p>
        </w:tc>
        <w:tc>
          <w:tcPr>
            <w:tcW w:type="pct" w:w="33%"/>
          </w:tcPr>
          <w:p>
            <w:r>
              <w:rPr>
                <w:rFonts w:ascii="Calibri" w:cs="Calibri" w:eastAsia="Calibri" w:hAnsi="Calibri"/>
                <w:b w:val="false"/>
                <w:bCs w:val="false"/>
                <w:sz w:val="19"/>
                <w:szCs w:val="19"/>
              </w:rPr>
              <w:t xml:space="preserve">Clase 02 – sección Varianza</w:t>
            </w:r>
          </w:p>
        </w:tc>
      </w:tr>
      <w:tr>
        <w:tc>
          <w:tcPr>
            <w:tcW w:type="pct" w:w="6%"/>
          </w:tcPr>
          <w:p>
            <w:r>
              <w:rPr>
                <w:rFonts w:ascii="Calibri" w:cs="Calibri" w:eastAsia="Calibri" w:hAnsi="Calibri"/>
                <w:b w:val="false"/>
                <w:bCs w:val="false"/>
                <w:sz w:val="19"/>
                <w:szCs w:val="19"/>
              </w:rPr>
              <w:t xml:space="preserve">5</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Definición exacta de mediana.</w:t>
            </w:r>
          </w:p>
        </w:tc>
        <w:tc>
          <w:tcPr>
            <w:tcW w:type="pct" w:w="33%"/>
          </w:tcPr>
          <w:p>
            <w:r>
              <w:rPr>
                <w:rFonts w:ascii="Calibri" w:cs="Calibri" w:eastAsia="Calibri" w:hAnsi="Calibri"/>
                <w:b w:val="false"/>
                <w:bCs w:val="false"/>
                <w:sz w:val="19"/>
                <w:szCs w:val="19"/>
              </w:rPr>
              <w:t xml:space="preserve">Clase 02 – sección Mediana</w:t>
            </w:r>
          </w:p>
        </w:tc>
      </w:tr>
      <w:tr>
        <w:tc>
          <w:tcPr>
            <w:tcW w:type="pct" w:w="6%"/>
          </w:tcPr>
          <w:p>
            <w:r>
              <w:rPr>
                <w:rFonts w:ascii="Calibri" w:cs="Calibri" w:eastAsia="Calibri" w:hAnsi="Calibri"/>
                <w:b w:val="false"/>
                <w:bCs w:val="false"/>
                <w:sz w:val="19"/>
                <w:szCs w:val="19"/>
              </w:rPr>
              <w:t xml:space="preserve">6</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"Distribución Simétrica: γ1 = 0" aparece como propiedad explícita.</w:t>
            </w:r>
          </w:p>
        </w:tc>
        <w:tc>
          <w:tcPr>
            <w:tcW w:type="pct" w:w="33%"/>
          </w:tcPr>
          <w:p>
            <w:r>
              <w:rPr>
                <w:rFonts w:ascii="Calibri" w:cs="Calibri" w:eastAsia="Calibri" w:hAnsi="Calibri"/>
                <w:b w:val="false"/>
                <w:bCs w:val="false"/>
                <w:sz w:val="19"/>
                <w:szCs w:val="19"/>
              </w:rPr>
              <w:t xml:space="preserve">Clase 02 – "Propiedades del Coeficiente de Asimetría"</w:t>
            </w:r>
          </w:p>
        </w:tc>
      </w:tr>
      <w:tr>
        <w:tc>
          <w:tcPr>
            <w:tcW w:type="pct" w:w="6%"/>
          </w:tcPr>
          <w:p>
            <w:r>
              <w:rPr>
                <w:rFonts w:ascii="Calibri" w:cs="Calibri" w:eastAsia="Calibri" w:hAnsi="Calibri"/>
                <w:b w:val="false"/>
                <w:bCs w:val="false"/>
                <w:sz w:val="19"/>
                <w:szCs w:val="19"/>
              </w:rPr>
              <w:t xml:space="preserve">7</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Leptocúrtica = colas MÁS GRUESAS que la normal, no más delgadas.</w:t>
            </w:r>
          </w:p>
        </w:tc>
        <w:tc>
          <w:tcPr>
            <w:tcW w:type="pct" w:w="33%"/>
          </w:tcPr>
          <w:p>
            <w:r>
              <w:rPr>
                <w:rFonts w:ascii="Calibri" w:cs="Calibri" w:eastAsia="Calibri" w:hAnsi="Calibri"/>
                <w:b w:val="false"/>
                <w:bCs w:val="false"/>
                <w:sz w:val="19"/>
                <w:szCs w:val="19"/>
              </w:rPr>
              <w:t xml:space="preserve">Clase 02 – sección Curtosis</w:t>
            </w:r>
          </w:p>
        </w:tc>
      </w:tr>
      <w:tr>
        <w:tc>
          <w:tcPr>
            <w:tcW w:type="pct" w:w="6%"/>
          </w:tcPr>
          <w:p>
            <w:r>
              <w:rPr>
                <w:rFonts w:ascii="Calibri" w:cs="Calibri" w:eastAsia="Calibri" w:hAnsi="Calibri"/>
                <w:b w:val="false"/>
                <w:bCs w:val="false"/>
                <w:sz w:val="19"/>
                <w:szCs w:val="19"/>
              </w:rPr>
              <w:t xml:space="preserve">8</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G=0 igualdad perfecta, G=1 desigualdad máxima.</w:t>
            </w:r>
          </w:p>
        </w:tc>
        <w:tc>
          <w:tcPr>
            <w:tcW w:type="pct" w:w="33%"/>
          </w:tcPr>
          <w:p>
            <w:r>
              <w:rPr>
                <w:rFonts w:ascii="Calibri" w:cs="Calibri" w:eastAsia="Calibri" w:hAnsi="Calibri"/>
                <w:b w:val="false"/>
                <w:bCs w:val="false"/>
                <w:sz w:val="19"/>
                <w:szCs w:val="19"/>
              </w:rPr>
              <w:t xml:space="preserve">Clase 02 – "Propiedades del Índice de Gini"</w:t>
            </w:r>
          </w:p>
        </w:tc>
      </w:tr>
      <w:tr>
        <w:tc>
          <w:tcPr>
            <w:tcW w:type="pct" w:w="6%"/>
          </w:tcPr>
          <w:p>
            <w:r>
              <w:rPr>
                <w:rFonts w:ascii="Calibri" w:cs="Calibri" w:eastAsia="Calibri" w:hAnsi="Calibri"/>
                <w:b w:val="false"/>
                <w:bCs w:val="false"/>
                <w:sz w:val="19"/>
                <w:szCs w:val="19"/>
              </w:rPr>
              <w:t xml:space="preserve">9</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La escala ordinal solo ordena categorías; no admite suma/resta.</w:t>
            </w:r>
          </w:p>
        </w:tc>
        <w:tc>
          <w:tcPr>
            <w:tcW w:type="pct" w:w="33%"/>
          </w:tcPr>
          <w:p>
            <w:r>
              <w:rPr>
                <w:rFonts w:ascii="Calibri" w:cs="Calibri" w:eastAsia="Calibri" w:hAnsi="Calibri"/>
                <w:b w:val="false"/>
                <w:bCs w:val="false"/>
                <w:sz w:val="19"/>
                <w:szCs w:val="19"/>
              </w:rPr>
              <w:t xml:space="preserve">Clase 01 – sección "Escala de medición"</w:t>
            </w:r>
          </w:p>
        </w:tc>
      </w:tr>
      <w:tr>
        <w:tc>
          <w:tcPr>
            <w:tcW w:type="pct" w:w="6%"/>
          </w:tcPr>
          <w:p>
            <w:r>
              <w:rPr>
                <w:rFonts w:ascii="Calibri" w:cs="Calibri" w:eastAsia="Calibri" w:hAnsi="Calibri"/>
                <w:b w:val="false"/>
                <w:bCs w:val="false"/>
                <w:sz w:val="19"/>
                <w:szCs w:val="19"/>
              </w:rPr>
              <w:t xml:space="preserve">10</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Definición exacta de CV.</w:t>
            </w:r>
          </w:p>
        </w:tc>
        <w:tc>
          <w:tcPr>
            <w:tcW w:type="pct" w:w="33%"/>
          </w:tcPr>
          <w:p>
            <w:r>
              <w:rPr>
                <w:rFonts w:ascii="Calibri" w:cs="Calibri" w:eastAsia="Calibri" w:hAnsi="Calibri"/>
                <w:b w:val="false"/>
                <w:bCs w:val="false"/>
                <w:sz w:val="19"/>
                <w:szCs w:val="19"/>
              </w:rPr>
              <w:t xml:space="preserve">Clase 02 – sección Coeficiente de Variación</w:t>
            </w:r>
          </w:p>
        </w:tc>
      </w:tr>
      <w:tr>
        <w:tc>
          <w:tcPr>
            <w:tcW w:type="pct" w:w="6%"/>
          </w:tcPr>
          <w:p>
            <w:r>
              <w:rPr>
                <w:rFonts w:ascii="Calibri" w:cs="Calibri" w:eastAsia="Calibri" w:hAnsi="Calibri"/>
                <w:b w:val="false"/>
                <w:bCs w:val="false"/>
                <w:sz w:val="19"/>
                <w:szCs w:val="19"/>
              </w:rPr>
              <w:t xml:space="preserve">11</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Se cumple H ≤ G ≤ x̄ para datos positivos.</w:t>
            </w:r>
          </w:p>
        </w:tc>
        <w:tc>
          <w:tcPr>
            <w:tcW w:type="pct" w:w="33%"/>
          </w:tcPr>
          <w:p>
            <w:r>
              <w:rPr>
                <w:rFonts w:ascii="Calibri" w:cs="Calibri" w:eastAsia="Calibri" w:hAnsi="Calibri"/>
                <w:b w:val="false"/>
                <w:bCs w:val="false"/>
                <w:sz w:val="19"/>
                <w:szCs w:val="19"/>
              </w:rPr>
              <w:t xml:space="preserve">Clase 02 – "Media Geométrica y Armónica"</w:t>
            </w:r>
          </w:p>
        </w:tc>
      </w:tr>
      <w:tr>
        <w:tc>
          <w:tcPr>
            <w:tcW w:type="pct" w:w="6%"/>
          </w:tcPr>
          <w:p>
            <w:r>
              <w:rPr>
                <w:rFonts w:ascii="Calibri" w:cs="Calibri" w:eastAsia="Calibri" w:hAnsi="Calibri"/>
                <w:b w:val="false"/>
                <w:bCs w:val="false"/>
                <w:sz w:val="19"/>
                <w:szCs w:val="19"/>
              </w:rPr>
              <w:t xml:space="preserve">12</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La curtosis mide aplanamiento; la simetría la mide el sesgo (γ1).</w:t>
            </w:r>
          </w:p>
        </w:tc>
        <w:tc>
          <w:tcPr>
            <w:tcW w:type="pct" w:w="33%"/>
          </w:tcPr>
          <w:p>
            <w:r>
              <w:rPr>
                <w:rFonts w:ascii="Calibri" w:cs="Calibri" w:eastAsia="Calibri" w:hAnsi="Calibri"/>
                <w:b w:val="false"/>
                <w:bCs w:val="false"/>
                <w:sz w:val="19"/>
                <w:szCs w:val="19"/>
              </w:rPr>
              <w:t xml:space="preserve">Clase 02 – sección Curtosis</w:t>
            </w:r>
          </w:p>
        </w:tc>
      </w:tr>
      <w:tr>
        <w:tc>
          <w:tcPr>
            <w:tcW w:type="pct" w:w="6%"/>
          </w:tcPr>
          <w:p>
            <w:r>
              <w:rPr>
                <w:rFonts w:ascii="Calibri" w:cs="Calibri" w:eastAsia="Calibri" w:hAnsi="Calibri"/>
                <w:b w:val="false"/>
                <w:bCs w:val="false"/>
                <w:sz w:val="19"/>
                <w:szCs w:val="19"/>
              </w:rPr>
              <w:t xml:space="preserve">13</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El rango tiene sensibilidad ALTA a outliers en la tabla comparativa.</w:t>
            </w:r>
          </w:p>
        </w:tc>
        <w:tc>
          <w:tcPr>
            <w:tcW w:type="pct" w:w="33%"/>
          </w:tcPr>
          <w:p>
            <w:r>
              <w:rPr>
                <w:rFonts w:ascii="Calibri" w:cs="Calibri" w:eastAsia="Calibri" w:hAnsi="Calibri"/>
                <w:b w:val="false"/>
                <w:bCs w:val="false"/>
                <w:sz w:val="19"/>
                <w:szCs w:val="19"/>
              </w:rPr>
              <w:t xml:space="preserve">Clase 02 – tabla "Comparación de Medidas de Dispersión"; Libro §3.2.1</w:t>
            </w:r>
          </w:p>
        </w:tc>
      </w:tr>
      <w:tr>
        <w:tc>
          <w:tcPr>
            <w:tcW w:type="pct" w:w="6%"/>
          </w:tcPr>
          <w:p>
            <w:r>
              <w:rPr>
                <w:rFonts w:ascii="Calibri" w:cs="Calibri" w:eastAsia="Calibri" w:hAnsi="Calibri"/>
                <w:b w:val="false"/>
                <w:bCs w:val="false"/>
                <w:sz w:val="19"/>
                <w:szCs w:val="19"/>
              </w:rPr>
              <w:t xml:space="preserve">14</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El censo recolecta datos de TODA la población, no de una muestra.</w:t>
            </w:r>
          </w:p>
        </w:tc>
        <w:tc>
          <w:tcPr>
            <w:tcW w:type="pct" w:w="33%"/>
          </w:tcPr>
          <w:p>
            <w:r>
              <w:rPr>
                <w:rFonts w:ascii="Calibri" w:cs="Calibri" w:eastAsia="Calibri" w:hAnsi="Calibri"/>
                <w:b w:val="false"/>
                <w:bCs w:val="false"/>
                <w:sz w:val="19"/>
                <w:szCs w:val="19"/>
              </w:rPr>
              <w:t xml:space="preserve">Clase 01 – "Conceptos generales"</w:t>
            </w:r>
          </w:p>
        </w:tc>
      </w:tr>
      <w:tr>
        <w:tc>
          <w:tcPr>
            <w:tcW w:type="pct" w:w="6%"/>
          </w:tcPr>
          <w:p>
            <w:r>
              <w:rPr>
                <w:rFonts w:ascii="Calibri" w:cs="Calibri" w:eastAsia="Calibri" w:hAnsi="Calibri"/>
                <w:b w:val="false"/>
                <w:bCs w:val="false"/>
                <w:sz w:val="19"/>
                <w:szCs w:val="19"/>
              </w:rPr>
              <w:t xml:space="preserve">15</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"Número de hijos" aparece como ejemplo explícito de variable DISCRETA.</w:t>
            </w:r>
          </w:p>
        </w:tc>
        <w:tc>
          <w:tcPr>
            <w:tcW w:type="pct" w:w="33%"/>
          </w:tcPr>
          <w:p>
            <w:r>
              <w:rPr>
                <w:rFonts w:ascii="Calibri" w:cs="Calibri" w:eastAsia="Calibri" w:hAnsi="Calibri"/>
                <w:b w:val="false"/>
                <w:bCs w:val="false"/>
                <w:sz w:val="19"/>
                <w:szCs w:val="19"/>
              </w:rPr>
              <w:t xml:space="preserve">Clase 01 – "Tipos de datos"</w:t>
            </w:r>
          </w:p>
        </w:tc>
      </w:tr>
      <w:tr>
        <w:tc>
          <w:tcPr>
            <w:tcW w:type="pct" w:w="6%"/>
          </w:tcPr>
          <w:p>
            <w:r>
              <w:rPr>
                <w:rFonts w:ascii="Calibri" w:cs="Calibri" w:eastAsia="Calibri" w:hAnsi="Calibri"/>
                <w:b w:val="false"/>
                <w:bCs w:val="false"/>
                <w:sz w:val="19"/>
                <w:szCs w:val="19"/>
              </w:rPr>
              <w:t xml:space="preserve">16</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Se cumple H ≤ G para datos positivos (misma desigualdad de la #11).</w:t>
            </w:r>
          </w:p>
        </w:tc>
        <w:tc>
          <w:tcPr>
            <w:tcW w:type="pct" w:w="33%"/>
          </w:tcPr>
          <w:p>
            <w:r>
              <w:rPr>
                <w:rFonts w:ascii="Calibri" w:cs="Calibri" w:eastAsia="Calibri" w:hAnsi="Calibri"/>
                <w:b w:val="false"/>
                <w:bCs w:val="false"/>
                <w:sz w:val="19"/>
                <w:szCs w:val="19"/>
              </w:rPr>
              <w:t xml:space="preserve">Clase 02 – "Media Geométrica y Armónica"</w:t>
            </w:r>
          </w:p>
        </w:tc>
      </w:tr>
      <w:tr>
        <w:tc>
          <w:tcPr>
            <w:tcW w:type="pct" w:w="6%"/>
          </w:tcPr>
          <w:p>
            <w:r>
              <w:rPr>
                <w:rFonts w:ascii="Calibri" w:cs="Calibri" w:eastAsia="Calibri" w:hAnsi="Calibri"/>
                <w:b w:val="false"/>
                <w:bCs w:val="false"/>
                <w:sz w:val="19"/>
                <w:szCs w:val="19"/>
              </w:rPr>
              <w:t xml:space="preserve">17</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En sesgo negativo se cumple x̄ ≤ Me ≤ Mo (media MENOR que la mediana).</w:t>
            </w:r>
          </w:p>
        </w:tc>
        <w:tc>
          <w:tcPr>
            <w:tcW w:type="pct" w:w="33%"/>
          </w:tcPr>
          <w:p>
            <w:r>
              <w:rPr>
                <w:rFonts w:ascii="Calibri" w:cs="Calibri" w:eastAsia="Calibri" w:hAnsi="Calibri"/>
                <w:b w:val="false"/>
                <w:bCs w:val="false"/>
                <w:sz w:val="19"/>
                <w:szCs w:val="19"/>
              </w:rPr>
              <w:t xml:space="preserve">Libro §3.4 – Asimetría y curtosis</w:t>
            </w:r>
          </w:p>
        </w:tc>
      </w:tr>
      <w:tr>
        <w:tc>
          <w:tcPr>
            <w:tcW w:type="pct" w:w="6%"/>
          </w:tcPr>
          <w:p>
            <w:r>
              <w:rPr>
                <w:rFonts w:ascii="Calibri" w:cs="Calibri" w:eastAsia="Calibri" w:hAnsi="Calibri"/>
                <w:b w:val="false"/>
                <w:bCs w:val="false"/>
                <w:sz w:val="19"/>
                <w:szCs w:val="19"/>
              </w:rPr>
              <w:t xml:space="preserve">18</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El CV sirve para comparar dispersión entre datos con unidades distintas.</w:t>
            </w:r>
          </w:p>
        </w:tc>
        <w:tc>
          <w:tcPr>
            <w:tcW w:type="pct" w:w="33%"/>
          </w:tcPr>
          <w:p>
            <w:r>
              <w:rPr>
                <w:rFonts w:ascii="Calibri" w:cs="Calibri" w:eastAsia="Calibri" w:hAnsi="Calibri"/>
                <w:b w:val="false"/>
                <w:bCs w:val="false"/>
                <w:sz w:val="19"/>
                <w:szCs w:val="19"/>
              </w:rPr>
              <w:t xml:space="preserve">Clase 02 – sección Coeficiente de Variación</w:t>
            </w:r>
          </w:p>
        </w:tc>
      </w:tr>
      <w:tr>
        <w:tc>
          <w:tcPr>
            <w:tcW w:type="pct" w:w="6%"/>
          </w:tcPr>
          <w:p>
            <w:r>
              <w:rPr>
                <w:rFonts w:ascii="Calibri" w:cs="Calibri" w:eastAsia="Calibri" w:hAnsi="Calibri"/>
                <w:b w:val="false"/>
                <w:bCs w:val="false"/>
                <w:sz w:val="19"/>
                <w:szCs w:val="19"/>
              </w:rPr>
              <w:t xml:space="preserve">19</w:t>
            </w:r>
          </w:p>
        </w:tc>
        <w:tc>
          <w:tcPr>
            <w:tcW w:type="pct" w:w="6%"/>
          </w:tcPr>
          <w:p>
            <w:r>
              <w:rPr>
                <w:rFonts w:ascii="Calibri" w:cs="Calibri" w:eastAsia="Calibri" w:hAnsi="Calibri"/>
                <w:b/>
                <w:bCs/>
                <w:sz w:val="19"/>
                <w:szCs w:val="19"/>
              </w:rPr>
              <w:t xml:space="preserve">V</w:t>
            </w:r>
          </w:p>
        </w:tc>
        <w:tc>
          <w:tcPr>
            <w:tcW w:type="pct" w:w="55%"/>
          </w:tcPr>
          <w:p>
            <w:r>
              <w:rPr>
                <w:rFonts w:ascii="Calibri" w:cs="Calibri" w:eastAsia="Calibri" w:hAnsi="Calibri"/>
                <w:b w:val="false"/>
                <w:bCs w:val="false"/>
                <w:sz w:val="19"/>
                <w:szCs w:val="19"/>
              </w:rPr>
              <w:t xml:space="preserve">La Curva de Lorenz es la base gráfica para calcular el Gini.</w:t>
            </w:r>
          </w:p>
        </w:tc>
        <w:tc>
          <w:tcPr>
            <w:tcW w:type="pct" w:w="33%"/>
          </w:tcPr>
          <w:p>
            <w:r>
              <w:rPr>
                <w:rFonts w:ascii="Calibri" w:cs="Calibri" w:eastAsia="Calibri" w:hAnsi="Calibri"/>
                <w:b w:val="false"/>
                <w:bCs w:val="false"/>
                <w:sz w:val="19"/>
                <w:szCs w:val="19"/>
              </w:rPr>
              <w:t xml:space="preserve">Clase 02 – sección Curva de Lorenz</w:t>
            </w:r>
          </w:p>
        </w:tc>
      </w:tr>
      <w:tr>
        <w:tc>
          <w:tcPr>
            <w:tcW w:type="pct" w:w="6%"/>
          </w:tcPr>
          <w:p>
            <w:r>
              <w:rPr>
                <w:rFonts w:ascii="Calibri" w:cs="Calibri" w:eastAsia="Calibri" w:hAnsi="Calibri"/>
                <w:b w:val="false"/>
                <w:bCs w:val="false"/>
                <w:sz w:val="19"/>
                <w:szCs w:val="19"/>
              </w:rPr>
              <w:t xml:space="preserve">20</w:t>
            </w:r>
          </w:p>
        </w:tc>
        <w:tc>
          <w:tcPr>
            <w:tcW w:type="pct" w:w="6%"/>
          </w:tcPr>
          <w:p>
            <w:r>
              <w:rPr>
                <w:rFonts w:ascii="Calibri" w:cs="Calibri" w:eastAsia="Calibri" w:hAnsi="Calibri"/>
                <w:b/>
                <w:bCs/>
                <w:sz w:val="19"/>
                <w:szCs w:val="19"/>
              </w:rPr>
              <w:t xml:space="preserve">F</w:t>
            </w:r>
          </w:p>
        </w:tc>
        <w:tc>
          <w:tcPr>
            <w:tcW w:type="pct" w:w="55%"/>
          </w:tcPr>
          <w:p>
            <w:r>
              <w:rPr>
                <w:rFonts w:ascii="Calibri" w:cs="Calibri" w:eastAsia="Calibri" w:hAnsi="Calibri"/>
                <w:b w:val="false"/>
                <w:bCs w:val="false"/>
                <w:sz w:val="19"/>
                <w:szCs w:val="19"/>
              </w:rPr>
              <w:t xml:space="preserve">La moda puede no ser única (distribuciones multimodales).</w:t>
            </w:r>
          </w:p>
        </w:tc>
        <w:tc>
          <w:tcPr>
            <w:tcW w:type="pct" w:w="33%"/>
          </w:tcPr>
          <w:p>
            <w:r>
              <w:rPr>
                <w:rFonts w:ascii="Calibri" w:cs="Calibri" w:eastAsia="Calibri" w:hAnsi="Calibri"/>
                <w:b w:val="false"/>
                <w:bCs w:val="false"/>
                <w:sz w:val="19"/>
                <w:szCs w:val="19"/>
              </w:rPr>
              <w:t xml:space="preserve">Clase 02 – sección Moda</w:t>
            </w:r>
          </w:p>
        </w:tc>
      </w:tr>
    </w:tbl>
    <w:p>
      <w:pPr>
        <w:pStyle w:val="Heading1"/>
        <w:spacing w:after="150" w:before="300"/>
      </w:pPr>
      <w:r>
        <w:t xml:space="preserve">Bloque II — Desarrollo y resolución de casos</w:t>
      </w:r>
    </w:p>
    <w:p>
      <w:pPr>
        <w:pStyle w:val="Heading2"/>
        <w:spacing w:after="120" w:before="250"/>
      </w:pPr>
      <w:r>
        <w:t xml:space="preserve">Pregunta 21 — Media, mediana, moda y tipo de asimetría</w:t>
      </w:r>
    </w:p>
    <w:p>
      <w:pPr>
        <w:spacing w:after="120"/>
      </w:pPr>
      <w:r>
        <w:rPr>
          <w:rFonts w:ascii="Calibri" w:cs="Calibri" w:eastAsia="Calibri" w:hAnsi="Calibri"/>
        </w:rPr>
        <w:t xml:space="preserve">Datos (n=8): 1200, 1500, 1800, 2000, 2200, 2500, 3000, 10000</w:t>
      </w:r>
    </w:p>
    <w:p>
      <w:pPr>
        <w:spacing w:after="120"/>
      </w:pPr>
      <w:r>
        <w:rPr>
          <w:rFonts w:ascii="Calibri" w:cs="Calibri" w:eastAsia="Calibri" w:hAnsi="Calibri"/>
        </w:rPr>
        <w:t xml:space="preserve">Media = 24 200 / 8 = 3 025</w:t>
      </w:r>
    </w:p>
    <w:p>
      <w:pPr>
        <w:spacing w:after="120"/>
      </w:pPr>
      <w:r>
        <w:rPr>
          <w:rFonts w:ascii="Calibri" w:cs="Calibri" w:eastAsia="Calibri" w:hAnsi="Calibri"/>
        </w:rPr>
        <w:t xml:space="preserve">Mediana (par, promedio del 4º y 5º dato ordenado) = (2000+2200)/2 = 2 100</w:t>
      </w:r>
    </w:p>
    <w:p>
      <w:pPr>
        <w:spacing w:after="120"/>
      </w:pPr>
      <w:r>
        <w:rPr>
          <w:rFonts w:ascii="Calibri" w:cs="Calibri" w:eastAsia="Calibri" w:hAnsi="Calibri"/>
        </w:rPr>
        <w:t xml:space="preserve">Moda = no tiene (todos los valores son distintos)</w:t>
      </w:r>
    </w:p>
    <w:p>
      <w:pPr>
        <w:spacing w:after="120"/>
      </w:pPr>
      <w:r>
        <w:rPr>
          <w:rFonts w:ascii="Calibri" w:cs="Calibri" w:eastAsia="Calibri" w:hAnsi="Calibri"/>
        </w:rPr>
        <w:t xml:space="preserve">Como Media (3 025) &gt; Mediana (2 100), la distribución tiene sesgo positivo (cola a la derecha), causado por el valor atípico de 10 000.</w:t>
      </w:r>
    </w:p>
    <w:p>
      <w:pPr>
        <w:spacing w:after="120"/>
      </w:pPr>
      <w:r>
        <w:rPr>
          <w:rFonts w:ascii="Calibri" w:cs="Calibri" w:eastAsia="Calibri" w:hAnsi="Calibri"/>
          <w:b/>
          <w:bCs/>
        </w:rPr>
        <w:t xml:space="preserve">Conclusión: </w:t>
      </w:r>
      <w:r>
        <w:rPr>
          <w:rFonts w:ascii="Calibri" w:cs="Calibri" w:eastAsia="Calibri" w:hAnsi="Calibri"/>
        </w:rPr>
        <w:t xml:space="preserve">coincide en estructura con la alternativa A (media&gt;mediana, sin moda, sesgo positivo), aunque el valor exacto de la media calculado (3 025) difiere ligeramente del que aparece en las alternativas del enunciado — vale la pena verificar esto con el profesor.</w:t>
      </w:r>
    </w:p>
    <w:p>
      <w:pPr>
        <w:spacing w:after="240"/>
      </w:pPr>
      <w:r>
        <w:rPr>
          <w:rFonts w:ascii="Calibri" w:cs="Calibri" w:eastAsia="Calibri" w:hAnsi="Calibri"/>
          <w:i/>
          <w:iCs/>
          <w:color w:val="555555"/>
          <w:sz w:val="20"/>
          <w:szCs w:val="20"/>
        </w:rPr>
        <w:t xml:space="preserve">Fuente: Media/mediana/moda — Clase 02, secciones respectivas. Relación media-mediana y tipo de sesgo — Libro §3.4 (Asimetría y curtosis).</w:t>
      </w:r>
    </w:p>
    <w:p>
      <w:pPr>
        <w:pStyle w:val="Heading2"/>
        <w:spacing w:after="120" w:before="250"/>
      </w:pPr>
      <w:r>
        <w:t xml:space="preserve">Pregunta 22 — Varianza y desviación estándar muestral</w:t>
      </w:r>
    </w:p>
    <w:p>
      <w:pPr>
        <w:spacing w:after="120"/>
      </w:pPr>
      <w:r>
        <w:rPr>
          <w:rFonts w:ascii="Calibri" w:cs="Calibri" w:eastAsia="Calibri" w:hAnsi="Calibri"/>
        </w:rPr>
        <w:t xml:space="preserve">Datos: 4, 8, 6, 5, 3 → media = 26/5 = 5.2</w:t>
      </w:r>
    </w:p>
    <w:p>
      <w:pPr>
        <w:spacing w:after="120"/>
      </w:pPr>
      <w:r>
        <w:rPr>
          <w:rFonts w:ascii="Calibri" w:cs="Calibri" w:eastAsia="Calibri" w:hAnsi="Calibri"/>
        </w:rPr>
        <w:t xml:space="preserve">Σ(xi − x̄)² = 1.44+7.84+0.64+0.04+4.84 = 14.80</w:t>
      </w:r>
    </w:p>
    <w:p>
      <w:pPr>
        <w:spacing w:after="120"/>
      </w:pPr>
      <w:r>
        <w:rPr>
          <w:rFonts w:ascii="Calibri" w:cs="Calibri" w:eastAsia="Calibri" w:hAnsi="Calibri"/>
        </w:rPr>
        <w:t xml:space="preserve">s² = 14.80 / (5−1) = 3.70</w:t>
      </w:r>
    </w:p>
    <w:p>
      <w:pPr>
        <w:spacing w:after="120"/>
      </w:pPr>
      <w:r>
        <w:rPr>
          <w:rFonts w:ascii="Calibri" w:cs="Calibri" w:eastAsia="Calibri" w:hAnsi="Calibri"/>
        </w:rPr>
        <w:t xml:space="preserve">s = √3.70 ≈ 1.92</w:t>
      </w:r>
    </w:p>
    <w:p>
      <w:pPr>
        <w:spacing w:after="120"/>
      </w:pPr>
      <w:r>
        <w:rPr>
          <w:rFonts w:ascii="Calibri" w:cs="Calibri" w:eastAsia="Calibri" w:hAnsi="Calibri"/>
          <w:b/>
          <w:bCs/>
        </w:rPr>
        <w:t xml:space="preserve">Respuesta correcta: </w:t>
      </w:r>
      <w:r>
        <w:rPr>
          <w:rFonts w:ascii="Calibri" w:cs="Calibri" w:eastAsia="Calibri" w:hAnsi="Calibri"/>
        </w:rPr>
        <w:t xml:space="preserve">A) s² = 3.70, s = 1.92</w:t>
      </w:r>
    </w:p>
    <w:p>
      <w:pPr>
        <w:spacing w:after="240"/>
      </w:pPr>
      <w:r>
        <w:rPr>
          <w:rFonts w:ascii="Calibri" w:cs="Calibri" w:eastAsia="Calibri" w:hAnsi="Calibri"/>
          <w:i/>
          <w:iCs/>
          <w:color w:val="555555"/>
          <w:sz w:val="20"/>
          <w:szCs w:val="20"/>
        </w:rPr>
        <w:t xml:space="preserve">Fuente: Fórmula de varianza muestral (denominador n−1) — Clase 02, sección Varianza.</w:t>
      </w:r>
    </w:p>
    <w:p>
      <w:pPr>
        <w:pStyle w:val="Heading2"/>
        <w:spacing w:after="120" w:before="250"/>
      </w:pPr>
      <w:r>
        <w:t xml:space="preserve">Pregunta 23 — Transformación lineal Y = 0.5X + 10</w:t>
      </w:r>
    </w:p>
    <w:p>
      <w:pPr>
        <w:spacing w:after="120"/>
      </w:pPr>
      <w:r>
        <w:rPr>
          <w:rFonts w:ascii="Calibri" w:cs="Calibri" w:eastAsia="Calibri" w:hAnsi="Calibri"/>
        </w:rPr>
        <w:t xml:space="preserve">Media nueva = 0.5·(50) + 10 = 35</w:t>
      </w:r>
    </w:p>
    <w:p>
      <w:pPr>
        <w:spacing w:after="120"/>
      </w:pPr>
      <w:r>
        <w:rPr>
          <w:rFonts w:ascii="Calibri" w:cs="Calibri" w:eastAsia="Calibri" w:hAnsi="Calibri"/>
        </w:rPr>
        <w:t xml:space="preserve">Varianza nueva = 0.5² · 100 = 25 (el cambio de origen +10 no afecta la varianza; el factor de escala se eleva al cuadrado)</w:t>
      </w:r>
    </w:p>
    <w:p>
      <w:pPr>
        <w:spacing w:after="120"/>
      </w:pPr>
      <w:r>
        <w:rPr>
          <w:rFonts w:ascii="Calibri" w:cs="Calibri" w:eastAsia="Calibri" w:hAnsi="Calibri"/>
          <w:b/>
          <w:bCs/>
        </w:rPr>
        <w:t xml:space="preserve">Respuesta correcta: </w:t>
      </w:r>
      <w:r>
        <w:rPr>
          <w:rFonts w:ascii="Calibri" w:cs="Calibri" w:eastAsia="Calibri" w:hAnsi="Calibri"/>
        </w:rPr>
        <w:t xml:space="preserve">A) Media = 35, Varianza = 25</w:t>
      </w:r>
    </w:p>
    <w:p>
      <w:pPr>
        <w:spacing w:after="240"/>
      </w:pPr>
      <w:r>
        <w:rPr>
          <w:rFonts w:ascii="Calibri" w:cs="Calibri" w:eastAsia="Calibri" w:hAnsi="Calibri"/>
          <w:i/>
          <w:iCs/>
          <w:color w:val="555555"/>
          <w:sz w:val="20"/>
          <w:szCs w:val="20"/>
        </w:rPr>
        <w:t xml:space="preserve">Fuente: Propiedades de la media ante cambios de escala/origen — Clase 02, sección Media Aritmética. Propiedad de la varianza en combinación lineal — Clase 02, sección Varianza.</w:t>
      </w:r>
    </w:p>
    <w:p>
      <w:pPr>
        <w:pStyle w:val="Heading2"/>
        <w:spacing w:after="120" w:before="250"/>
      </w:pPr>
      <w:r>
        <w:t xml:space="preserve">Pregunta 24 — Coeficiente de asimetría de Fisher (γ1)</w:t>
      </w:r>
    </w:p>
    <w:p>
      <w:pPr>
        <w:spacing w:after="120"/>
      </w:pPr>
      <w:r>
        <w:rPr>
          <w:rFonts w:ascii="Calibri" w:cs="Calibri" w:eastAsia="Calibri" w:hAnsi="Calibri"/>
        </w:rPr>
        <w:t xml:space="preserve">Datos: 2, 3, 5, 7, 11, 13 → media = 41/6 ≈ 6.833</w:t>
      </w:r>
    </w:p>
    <w:p>
      <w:pPr>
        <w:spacing w:after="120"/>
      </w:pPr>
      <w:r>
        <w:rPr>
          <w:rFonts w:ascii="Calibri" w:cs="Calibri" w:eastAsia="Calibri" w:hAnsi="Calibri"/>
        </w:rPr>
        <w:t xml:space="preserve">m2 (momento 2) ≈ 16.139, m3 (momento 3) ≈ 21.917</w:t>
      </w:r>
    </w:p>
    <w:p>
      <w:pPr>
        <w:spacing w:after="120"/>
      </w:pPr>
      <w:r>
        <w:rPr>
          <w:rFonts w:ascii="Calibri" w:cs="Calibri" w:eastAsia="Calibri" w:hAnsi="Calibri"/>
        </w:rPr>
        <w:t xml:space="preserve">γ1 = m3 / m2^(3/2) ≈ 21.917 / 64.839 ≈ 0.338</w:t>
      </w:r>
    </w:p>
    <w:p>
      <w:pPr>
        <w:spacing w:after="120"/>
      </w:pPr>
      <w:r>
        <w:rPr>
          <w:rFonts w:ascii="Calibri" w:cs="Calibri" w:eastAsia="Calibri" w:hAnsi="Calibri"/>
          <w:b/>
          <w:bCs/>
        </w:rPr>
        <w:t xml:space="preserve">Interpretación: </w:t>
      </w:r>
      <w:r>
        <w:rPr>
          <w:rFonts w:ascii="Calibri" w:cs="Calibri" w:eastAsia="Calibri" w:hAnsi="Calibri"/>
        </w:rPr>
        <w:t xml:space="preserve">γ1 ≈ 0.34, positivo y de magnitud moderada → sesgo positivo moderado.</w:t>
      </w:r>
    </w:p>
    <w:p>
      <w:pPr>
        <w:spacing w:after="120"/>
      </w:pPr>
      <w:r>
        <w:rPr>
          <w:rFonts w:ascii="Calibri" w:cs="Calibri" w:eastAsia="Calibri" w:hAnsi="Calibri"/>
        </w:rPr>
        <w:t xml:space="preserve">La alternativa más cercana en interpretación es B) sesgo positivo moderado, aunque el valor exacto calculado (0.34) no coincide con el 0.45 indicado en esa opción — conviene revisarlo con el profesor.</w:t>
      </w:r>
    </w:p>
    <w:p>
      <w:pPr>
        <w:spacing w:after="240"/>
      </w:pPr>
      <w:r>
        <w:rPr>
          <w:rFonts w:ascii="Calibri" w:cs="Calibri" w:eastAsia="Calibri" w:hAnsi="Calibri"/>
          <w:i/>
          <w:iCs/>
          <w:color w:val="555555"/>
          <w:sz w:val="20"/>
          <w:szCs w:val="20"/>
        </w:rPr>
        <w:t xml:space="preserve">Fuente: Fórmula del coeficiente de asimetría de Fisher — Clase 02, sección "Medidas de Simetría y Asimetría (Sesgo)".</w:t>
      </w:r>
    </w:p>
    <w:p>
      <w:pPr>
        <w:pStyle w:val="Heading2"/>
        <w:spacing w:after="120" w:before="250"/>
      </w:pPr>
      <w:r>
        <w:t xml:space="preserve">Pregunta 25 — Coeficiente de Variación comparado</w:t>
      </w:r>
    </w:p>
    <w:p>
      <w:pPr>
        <w:spacing w:after="120"/>
      </w:pPr>
      <w:r>
        <w:rPr>
          <w:rFonts w:ascii="Calibri" w:cs="Calibri" w:eastAsia="Calibri" w:hAnsi="Calibri"/>
        </w:rPr>
        <w:t xml:space="preserve">CV(A) = 50/500 × 100 = 10%</w:t>
      </w:r>
    </w:p>
    <w:p>
      <w:pPr>
        <w:spacing w:after="120"/>
      </w:pPr>
      <w:r>
        <w:rPr>
          <w:rFonts w:ascii="Calibri" w:cs="Calibri" w:eastAsia="Calibri" w:hAnsi="Calibri"/>
        </w:rPr>
        <w:t xml:space="preserve">CV(B) = 40/300 × 100 = 13.33%</w:t>
      </w:r>
    </w:p>
    <w:p>
      <w:pPr>
        <w:spacing w:after="120"/>
      </w:pPr>
      <w:r>
        <w:rPr>
          <w:rFonts w:ascii="Calibri" w:cs="Calibri" w:eastAsia="Calibri" w:hAnsi="Calibri"/>
          <w:b/>
          <w:bCs/>
        </w:rPr>
        <w:t xml:space="preserve">Respuesta correcta: </w:t>
      </w:r>
      <w:r>
        <w:rPr>
          <w:rFonts w:ascii="Calibri" w:cs="Calibri" w:eastAsia="Calibri" w:hAnsi="Calibri"/>
        </w:rPr>
        <w:t xml:space="preserve">A) CV(A)=10%, CV(B)=13.33%; la Planta B presenta mayor variabilidad relativa.</w:t>
      </w:r>
    </w:p>
    <w:p>
      <w:pPr>
        <w:spacing w:after="240"/>
      </w:pPr>
      <w:r>
        <w:rPr>
          <w:rFonts w:ascii="Calibri" w:cs="Calibri" w:eastAsia="Calibri" w:hAnsi="Calibri"/>
          <w:i/>
          <w:iCs/>
          <w:color w:val="555555"/>
          <w:sz w:val="20"/>
          <w:szCs w:val="20"/>
        </w:rPr>
        <w:t xml:space="preserve">Fuente: Fórmula del Coeficiente de Variación — Clase 02, sección Coeficiente de Variación.</w:t>
      </w:r>
    </w:p>
    <w:p>
      <w:pPr>
        <w:pStyle w:val="Heading2"/>
        <w:spacing w:after="120" w:before="250"/>
      </w:pPr>
      <w:r>
        <w:t xml:space="preserve">Pregunta 26 — Media y varianza con datos agrupados (marca de clase)</w:t>
      </w:r>
    </w:p>
    <w:p>
      <w:pPr>
        <w:spacing w:after="120"/>
      </w:pPr>
      <w:r>
        <w:rPr>
          <w:rFonts w:ascii="Calibri" w:cs="Calibri" w:eastAsia="Calibri" w:hAnsi="Calibri"/>
        </w:rPr>
        <w:t xml:space="preserve">Marcas de clase: 1, 3, 5, 7, 9 con frecuencias 25, 40, 20, 10, 5 (N=100)</w:t>
      </w:r>
    </w:p>
    <w:p>
      <w:pPr>
        <w:spacing w:after="120"/>
      </w:pPr>
      <w:r>
        <w:rPr>
          <w:rFonts w:ascii="Calibri" w:cs="Calibri" w:eastAsia="Calibri" w:hAnsi="Calibri"/>
        </w:rPr>
        <w:t xml:space="preserve">Media = (25·1 + 40·3 + 20·5 + 10·7 + 5·9) / 100 = 360/100 = 3.6</w:t>
      </w:r>
    </w:p>
    <w:p>
      <w:pPr>
        <w:spacing w:after="120"/>
      </w:pPr>
      <w:r>
        <w:rPr>
          <w:rFonts w:ascii="Calibri" w:cs="Calibri" w:eastAsia="Calibri" w:hAnsi="Calibri"/>
        </w:rPr>
        <w:t xml:space="preserve">Varianza = Σ f·(marca−media)² / N = 484/100 = 4.84</w:t>
      </w:r>
    </w:p>
    <w:p>
      <w:pPr>
        <w:spacing w:after="120"/>
      </w:pPr>
      <w:r>
        <w:rPr>
          <w:rFonts w:ascii="Calibri" w:cs="Calibri" w:eastAsia="Calibri" w:hAnsi="Calibri"/>
          <w:b/>
          <w:bCs/>
        </w:rPr>
        <w:t xml:space="preserve">Respuesta correcta: </w:t>
      </w:r>
      <w:r>
        <w:rPr>
          <w:rFonts w:ascii="Calibri" w:cs="Calibri" w:eastAsia="Calibri" w:hAnsi="Calibri"/>
        </w:rPr>
        <w:t xml:space="preserve">A) Media = 3.6, Varianza ≈ 4.84</w:t>
      </w:r>
    </w:p>
    <w:p>
      <w:pPr>
        <w:spacing w:after="120"/>
      </w:pPr>
      <w:r>
        <w:rPr>
          <w:rFonts w:ascii="Calibri" w:cs="Calibri" w:eastAsia="Calibri" w:hAnsi="Calibri"/>
          <w:b/>
          <w:bCs/>
        </w:rPr>
        <w:t xml:space="preserve">Nota importante: </w:t>
      </w:r>
      <w:r>
        <w:rPr>
          <w:rFonts w:ascii="Calibri" w:cs="Calibri" w:eastAsia="Calibri" w:hAnsi="Calibri"/>
        </w:rPr>
        <w:t xml:space="preserve">esta pregunta NO se puede resolver solo con las diapositivas de clase — el procedimiento de "marca de clase" para datos agrupados en intervalos no aparece en ninguna de las dos clases. Sí está explicado en detalle en el libro.</w:t>
      </w:r>
    </w:p>
    <w:p>
      <w:pPr>
        <w:spacing w:after="240"/>
      </w:pPr>
      <w:r>
        <w:rPr>
          <w:rFonts w:ascii="Calibri" w:cs="Calibri" w:eastAsia="Calibri" w:hAnsi="Calibri"/>
          <w:i/>
          <w:iCs/>
          <w:color w:val="555555"/>
          <w:sz w:val="20"/>
          <w:szCs w:val="20"/>
        </w:rPr>
        <w:t xml:space="preserve">Fuente: Concepto y procedimiento de marca de clase / agrupamiento en intervalos — Libro §2.2.2 (Agrupamiento en intervalos de clase). NO cubierto en Clase 01 ni Clase 02.</w:t>
      </w:r>
    </w:p>
    <w:p>
      <w:pPr>
        <w:pStyle w:val="Heading2"/>
        <w:spacing w:after="120" w:before="250"/>
      </w:pPr>
      <w:r>
        <w:t xml:space="preserve">Pregunta 27 — Índice de Gini con datos agrupados</w:t>
      </w:r>
    </w:p>
    <w:p>
      <w:pPr>
        <w:spacing w:after="120"/>
      </w:pPr>
      <w:r>
        <w:rPr>
          <w:rFonts w:ascii="Calibri" w:cs="Calibri" w:eastAsia="Calibri" w:hAnsi="Calibri"/>
        </w:rPr>
        <w:t xml:space="preserve">Usando las proporciones acumuladas de población (Pi) e ingreso (Qi) de la tabla anterior y el método correcto de áreas trapezoidales bajo la Curva de Lorenz:</w:t>
      </w:r>
    </w:p>
    <w:p>
      <w:pPr>
        <w:spacing w:after="120"/>
      </w:pPr>
      <w:r>
        <w:rPr>
          <w:rFonts w:ascii="Calibri" w:cs="Calibri" w:eastAsia="Calibri" w:hAnsi="Calibri"/>
        </w:rPr>
        <w:t xml:space="preserve">G ≈ 0.328 (aprox. 0.33)</w:t>
      </w:r>
    </w:p>
    <w:p>
      <w:pPr>
        <w:spacing w:after="120"/>
      </w:pPr>
      <w:r>
        <w:rPr>
          <w:rFonts w:ascii="Calibri" w:cs="Calibri" w:eastAsia="Calibri" w:hAnsi="Calibri"/>
          <w:b/>
          <w:bCs/>
        </w:rPr>
        <w:t xml:space="preserve">Alternativa más cercana: </w:t>
      </w:r>
      <w:r>
        <w:rPr>
          <w:rFonts w:ascii="Calibri" w:cs="Calibri" w:eastAsia="Calibri" w:hAnsi="Calibri"/>
        </w:rPr>
        <w:t xml:space="preserve">A) G ≈ 0.35</w:t>
      </w:r>
    </w:p>
    <w:p>
      <w:pPr>
        <w:spacing w:after="120"/>
      </w:pPr>
      <w:r>
        <w:rPr>
          <w:rFonts w:ascii="Calibri" w:cs="Calibri" w:eastAsia="Calibri" w:hAnsi="Calibri"/>
          <w:b/>
          <w:bCs/>
        </w:rPr>
        <w:t xml:space="preserve">Nota importante: </w:t>
      </w:r>
      <w:r>
        <w:rPr>
          <w:rFonts w:ascii="Calibri" w:cs="Calibri" w:eastAsia="Calibri" w:hAnsi="Calibri"/>
        </w:rPr>
        <w:t xml:space="preserve">la fórmula G = 1 − 2·Σ(Pi·Qi) tal como aparece literalmente en la diapositiva de clase, aplicada de forma directa a los 5 intervalos agrupados, da un resultado matemáticamente inválido (fuera del rango 0–1). Para obtener un resultado correcto hace falta usar el promedio de proporciones consecutivas (método trapezoidal bajo la Curva de Lorenz), un detalle que NO se explica ni en la clase ni en el libro (el libro no trata el Índice de Gini en absoluto).</w:t>
      </w:r>
    </w:p>
    <w:p>
      <w:pPr>
        <w:spacing w:after="240"/>
      </w:pPr>
      <w:r>
        <w:rPr>
          <w:rFonts w:ascii="Calibri" w:cs="Calibri" w:eastAsia="Calibri" w:hAnsi="Calibri"/>
          <w:i/>
          <w:iCs/>
          <w:color w:val="555555"/>
          <w:sz w:val="20"/>
          <w:szCs w:val="20"/>
        </w:rPr>
        <w:t xml:space="preserve">Fuente: Fórmula base del Índice de Gini — Clase 02, sección Índice de Concentración de Gini. El método de cálculo con datos agrupados no está cubierto en ningún material del curso.</w:t>
      </w:r>
    </w:p>
    <w:p>
      <w:pPr>
        <w:pStyle w:val="Heading2"/>
        <w:spacing w:after="120" w:before="250"/>
      </w:pPr>
      <w:r>
        <w:t xml:space="preserve">Pregunta 28 — Tipos de variable y escalas de medición</w:t>
      </w:r>
    </w:p>
    <w:p>
      <w:pPr>
        <w:spacing w:after="120"/>
      </w:pPr>
      <w:r>
        <w:rPr>
          <w:rFonts w:ascii="Calibri" w:cs="Calibri" w:eastAsia="Calibri" w:hAnsi="Calibri"/>
        </w:rPr>
        <w:t xml:space="preserve">Color de ojos → cualitativa nominal (sin orden)</w:t>
      </w:r>
    </w:p>
    <w:p>
      <w:pPr>
        <w:spacing w:after="120"/>
      </w:pPr>
      <w:r>
        <w:rPr>
          <w:rFonts w:ascii="Calibri" w:cs="Calibri" w:eastAsia="Calibri" w:hAnsi="Calibri"/>
        </w:rPr>
        <w:t xml:space="preserve">Nivel de educación → cualitativa ordinal (con orden/jerarquía)</w:t>
      </w:r>
    </w:p>
    <w:p>
      <w:pPr>
        <w:spacing w:after="120"/>
      </w:pPr>
      <w:r>
        <w:rPr>
          <w:rFonts w:ascii="Calibri" w:cs="Calibri" w:eastAsia="Calibri" w:hAnsi="Calibri"/>
        </w:rPr>
        <w:t xml:space="preserve">Temperatura en °C → cuantitativa de intervalo (sin cero absoluto)</w:t>
      </w:r>
    </w:p>
    <w:p>
      <w:pPr>
        <w:spacing w:after="120"/>
      </w:pPr>
      <w:r>
        <w:rPr>
          <w:rFonts w:ascii="Calibri" w:cs="Calibri" w:eastAsia="Calibri" w:hAnsi="Calibri"/>
        </w:rPr>
        <w:t xml:space="preserve">Ingreso anual → cuantitativa de razón (con cero absoluto)</w:t>
      </w:r>
    </w:p>
    <w:p>
      <w:pPr>
        <w:spacing w:after="120"/>
      </w:pPr>
      <w:r>
        <w:rPr>
          <w:rFonts w:ascii="Calibri" w:cs="Calibri" w:eastAsia="Calibri" w:hAnsi="Calibri"/>
          <w:b/>
          <w:bCs/>
        </w:rPr>
        <w:t xml:space="preserve">Respuesta correcta: </w:t>
      </w:r>
      <w:r>
        <w:rPr>
          <w:rFonts w:ascii="Calibri" w:cs="Calibri" w:eastAsia="Calibri" w:hAnsi="Calibri"/>
        </w:rPr>
        <w:t xml:space="preserve">A</w:t>
      </w:r>
    </w:p>
    <w:p>
      <w:pPr>
        <w:spacing w:after="240"/>
      </w:pPr>
      <w:r>
        <w:rPr>
          <w:rFonts w:ascii="Calibri" w:cs="Calibri" w:eastAsia="Calibri" w:hAnsi="Calibri"/>
          <w:i/>
          <w:iCs/>
          <w:color w:val="555555"/>
          <w:sz w:val="20"/>
          <w:szCs w:val="20"/>
        </w:rPr>
        <w:t xml:space="preserve">Fuente: Definiciones de escala nominal, ordinal, de intervalo y de razón (temperatura en Celsius usada como ejemplo explícito de intervalo) — Clase 01, sección "Escala de medición".</w:t>
      </w:r>
    </w:p>
    <w:p>
      <w:pPr>
        <w:pStyle w:val="Heading2"/>
        <w:spacing w:after="120" w:before="250"/>
      </w:pPr>
      <w:r>
        <w:t xml:space="preserve">Pregunta 29 — Consecuencia de Σ(xi − x̄) = 0</w:t>
      </w:r>
    </w:p>
    <w:p>
      <w:pPr>
        <w:spacing w:after="120"/>
      </w:pPr>
      <w:r>
        <w:rPr>
          <w:rFonts w:ascii="Calibri" w:cs="Calibri" w:eastAsia="Calibri" w:hAnsi="Calibri"/>
        </w:rPr>
        <w:t xml:space="preserve">Si la suma total de las desviaciones respecto a la media es cero, entonces la suma de las desviaciones positivas debe ser igual (en valor absoluto) a la suma de las desviaciones negativas, para que se cancelen.</w:t>
      </w:r>
    </w:p>
    <w:p>
      <w:pPr>
        <w:spacing w:after="120"/>
      </w:pPr>
      <w:r>
        <w:rPr>
          <w:rFonts w:ascii="Calibri" w:cs="Calibri" w:eastAsia="Calibri" w:hAnsi="Calibri"/>
          <w:b/>
          <w:bCs/>
        </w:rPr>
        <w:t xml:space="preserve">Respuesta correcta: </w:t>
      </w:r>
      <w:r>
        <w:rPr>
          <w:rFonts w:ascii="Calibri" w:cs="Calibri" w:eastAsia="Calibri" w:hAnsi="Calibri"/>
        </w:rPr>
        <w:t xml:space="preserve">B) La suma de las desviaciones positivas es igual a la suma de las desviaciones negativas.</w:t>
      </w:r>
    </w:p>
    <w:p>
      <w:pPr>
        <w:spacing w:after="240"/>
      </w:pPr>
      <w:r>
        <w:rPr>
          <w:rFonts w:ascii="Calibri" w:cs="Calibri" w:eastAsia="Calibri" w:hAnsi="Calibri"/>
          <w:i/>
          <w:iCs/>
          <w:color w:val="555555"/>
          <w:sz w:val="20"/>
          <w:szCs w:val="20"/>
        </w:rPr>
        <w:t xml:space="preserve">Fuente: Propiedad Σ(xi − x̄) = 0 — Clase 02, sección Media Aritmética, propiedad 1.</w:t>
      </w:r>
    </w:p>
    <w:p>
      <w:pPr>
        <w:pStyle w:val="Heading2"/>
        <w:spacing w:after="120" w:before="250"/>
      </w:pPr>
      <w:r>
        <w:t xml:space="preserve">Pregunta 30 — Efecto de agregar un dato atípico</w:t>
      </w:r>
    </w:p>
    <w:p>
      <w:pPr>
        <w:spacing w:after="120"/>
      </w:pPr>
      <w:r>
        <w:rPr>
          <w:rFonts w:ascii="Calibri" w:cs="Calibri" w:eastAsia="Calibri" w:hAnsi="Calibri"/>
        </w:rPr>
        <w:t xml:space="preserve">n=10, media=20, s=4 → Σ(xi−x̄)² = 16×9 = 144. Se agrega el dato 40.</w:t>
      </w:r>
    </w:p>
    <w:p>
      <w:pPr>
        <w:spacing w:after="120"/>
      </w:pPr>
      <w:r>
        <w:rPr>
          <w:rFonts w:ascii="Calibri" w:cs="Calibri" w:eastAsia="Calibri" w:hAnsi="Calibri"/>
        </w:rPr>
        <w:t xml:space="preserve">Nueva media = (200+40)/11 ≈ 21.82 (aumenta)</w:t>
      </w:r>
    </w:p>
    <w:p>
      <w:pPr>
        <w:spacing w:after="120"/>
      </w:pPr>
      <w:r>
        <w:rPr>
          <w:rFonts w:ascii="Calibri" w:cs="Calibri" w:eastAsia="Calibri" w:hAnsi="Calibri"/>
        </w:rPr>
        <w:t xml:space="preserve">Nueva varianza (recalculada) ≈ 50.76 → nueva s ≈ 7.12 (aumenta considerablemente)</w:t>
      </w:r>
    </w:p>
    <w:p>
      <w:pPr>
        <w:spacing w:after="120"/>
      </w:pPr>
      <w:r>
        <w:rPr>
          <w:rFonts w:ascii="Calibri" w:cs="Calibri" w:eastAsia="Calibri" w:hAnsi="Calibri"/>
          <w:b/>
          <w:bCs/>
        </w:rPr>
        <w:t xml:space="preserve">Respuesta correcta: </w:t>
      </w:r>
      <w:r>
        <w:rPr>
          <w:rFonts w:ascii="Calibri" w:cs="Calibri" w:eastAsia="Calibri" w:hAnsi="Calibri"/>
        </w:rPr>
        <w:t xml:space="preserve">B) La media aumenta y la desviación estándar también aumenta.</w:t>
      </w:r>
    </w:p>
    <w:p>
      <w:pPr>
        <w:spacing w:after="240"/>
      </w:pPr>
      <w:r>
        <w:rPr>
          <w:rFonts w:ascii="Calibri" w:cs="Calibri" w:eastAsia="Calibri" w:hAnsi="Calibri"/>
          <w:i/>
          <w:iCs/>
          <w:color w:val="555555"/>
          <w:sz w:val="20"/>
          <w:szCs w:val="20"/>
        </w:rPr>
        <w:t xml:space="preserve">Fuente: Propiedades de la media y la varianza al modificar el conjunto de datos — Clase 02, secciones Media Aritmética y Varianza.</w:t>
      </w:r>
    </w:p>
    <w:p>
      <w:pPr>
        <w:pStyle w:val="Heading1"/>
        <w:spacing w:after="150" w:before="300"/>
      </w:pPr>
      <w:r>
        <w:t xml:space="preserve">Bloque III — Caso Práctico Integrador</w:t>
      </w:r>
    </w:p>
    <w:p>
      <w:pPr>
        <w:pStyle w:val="Heading2"/>
        <w:spacing w:after="120" w:before="250"/>
      </w:pPr>
      <w:r>
        <w:t xml:space="preserve">Pregunta 31 — Caso Integrador</w:t>
      </w:r>
    </w:p>
    <w:p>
      <w:pPr>
        <w:spacing w:after="120"/>
      </w:pPr>
      <w:r>
        <w:rPr>
          <w:rFonts w:ascii="Calibri" w:cs="Calibri" w:eastAsia="Calibri" w:hAnsi="Calibri"/>
        </w:rPr>
        <w:t xml:space="preserve">Datos (n=12, soles): 1800, 2200, 2500, 2800, 3000, 3200, 3500, 3800, 4000, 4500, 5000, 12000</w:t>
      </w:r>
    </w:p>
    <w:p>
      <w:pPr>
        <w:pBdr>
          <w:bottom w:val="single" w:color="CCCCCC" w:sz="6"/>
        </w:pBdr>
        <w:spacing w:after="240"/>
      </w:pPr>
    </w:p>
    <w:p>
      <w:pPr>
        <w:spacing w:after="120"/>
      </w:pPr>
      <w:r>
        <w:rPr>
          <w:rFonts w:ascii="Calibri" w:cs="Calibri" w:eastAsia="Calibri" w:hAnsi="Calibri"/>
          <w:b/>
          <w:bCs/>
        </w:rPr>
        <w:t xml:space="preserve">1) Media, mediana, moda y tipo de asimetría</w:t>
      </w:r>
      <w:r>
        <w:rPr>
          <w:rFonts w:ascii="Calibri" w:cs="Calibri" w:eastAsia="Calibri" w:hAnsi="Calibri"/>
        </w:rPr>
        <w:t xml:space="preserve"/>
      </w:r>
    </w:p>
    <w:p>
      <w:pPr>
        <w:spacing w:after="120"/>
      </w:pPr>
      <w:r>
        <w:rPr>
          <w:rFonts w:ascii="Calibri" w:cs="Calibri" w:eastAsia="Calibri" w:hAnsi="Calibri"/>
        </w:rPr>
        <w:t xml:space="preserve">Media = 48 300/12 = 4 025</w:t>
      </w:r>
    </w:p>
    <w:p>
      <w:pPr>
        <w:spacing w:after="120"/>
      </w:pPr>
      <w:r>
        <w:rPr>
          <w:rFonts w:ascii="Calibri" w:cs="Calibri" w:eastAsia="Calibri" w:hAnsi="Calibri"/>
        </w:rPr>
        <w:t xml:space="preserve">Mediana = (3200+3500)/2 = 3 350</w:t>
      </w:r>
    </w:p>
    <w:p>
      <w:pPr>
        <w:spacing w:after="120"/>
      </w:pPr>
      <w:r>
        <w:rPr>
          <w:rFonts w:ascii="Calibri" w:cs="Calibri" w:eastAsia="Calibri" w:hAnsi="Calibri"/>
        </w:rPr>
        <w:t xml:space="preserve">Moda = no tiene (todos los valores son distintos)</w:t>
      </w:r>
    </w:p>
    <w:p>
      <w:pPr>
        <w:spacing w:after="120"/>
      </w:pPr>
      <w:r>
        <w:rPr>
          <w:rFonts w:ascii="Calibri" w:cs="Calibri" w:eastAsia="Calibri" w:hAnsi="Calibri"/>
        </w:rPr>
        <w:t xml:space="preserve">Como Media (4 025) &gt; Mediana (3 350), la distribución presenta sesgo positivo, causado por el valor atípico de 12 000.</w:t>
      </w:r>
    </w:p>
    <w:p>
      <w:pPr>
        <w:spacing w:after="240"/>
      </w:pPr>
      <w:r>
        <w:rPr>
          <w:rFonts w:ascii="Calibri" w:cs="Calibri" w:eastAsia="Calibri" w:hAnsi="Calibri"/>
          <w:i/>
          <w:iCs/>
          <w:color w:val="555555"/>
          <w:sz w:val="20"/>
          <w:szCs w:val="20"/>
        </w:rPr>
        <w:t xml:space="preserve">Fuente: Clase 02 — Media/Mediana/Moda; relación media-mediana según sesgo — Libro §3.4.</w:t>
      </w:r>
    </w:p>
    <w:p>
      <w:pPr>
        <w:spacing w:after="120"/>
      </w:pPr>
      <w:r>
        <w:rPr>
          <w:rFonts w:ascii="Calibri" w:cs="Calibri" w:eastAsia="Calibri" w:hAnsi="Calibri"/>
          <w:b/>
          <w:bCs/>
        </w:rPr>
        <w:t xml:space="preserve">2) Varianza, desviación estándar y coeficiente de variación</w:t>
      </w:r>
      <w:r>
        <w:rPr>
          <w:rFonts w:ascii="Calibri" w:cs="Calibri" w:eastAsia="Calibri" w:hAnsi="Calibri"/>
        </w:rPr>
        <w:t xml:space="preserve"/>
      </w:r>
    </w:p>
    <w:p>
      <w:pPr>
        <w:spacing w:after="120"/>
      </w:pPr>
      <w:r>
        <w:rPr>
          <w:rFonts w:ascii="Calibri" w:cs="Calibri" w:eastAsia="Calibri" w:hAnsi="Calibri"/>
        </w:rPr>
        <w:t xml:space="preserve">s² ≈ 7 176 590.9 → s ≈ 2 678.92</w:t>
      </w:r>
    </w:p>
    <w:p>
      <w:pPr>
        <w:spacing w:after="120"/>
      </w:pPr>
      <w:r>
        <w:rPr>
          <w:rFonts w:ascii="Calibri" w:cs="Calibri" w:eastAsia="Calibri" w:hAnsi="Calibri"/>
        </w:rPr>
        <w:t xml:space="preserve">CV = 2 678.92 / 4 025 × 100 ≈ 66.56%</w:t>
      </w:r>
    </w:p>
    <w:p>
      <w:pPr>
        <w:spacing w:after="120"/>
      </w:pPr>
      <w:r>
        <w:rPr>
          <w:rFonts w:ascii="Calibri" w:cs="Calibri" w:eastAsia="Calibri" w:hAnsi="Calibri"/>
        </w:rPr>
        <w:t xml:space="preserve">Interpretación: un CV de ~67% es muy alto — indica una dispersión relativa enorme, dominada casi por completo por el valor atípico de 12 000. Sin ese dato, la dispersión del resto de la muestra sería mucho menor.</w:t>
      </w:r>
    </w:p>
    <w:p>
      <w:pPr>
        <w:spacing w:after="240"/>
      </w:pPr>
      <w:r>
        <w:rPr>
          <w:rFonts w:ascii="Calibri" w:cs="Calibri" w:eastAsia="Calibri" w:hAnsi="Calibri"/>
          <w:i/>
          <w:iCs/>
          <w:color w:val="555555"/>
          <w:sz w:val="20"/>
          <w:szCs w:val="20"/>
        </w:rPr>
        <w:t xml:space="preserve">Fuente: Clase 02 — secciones Varianza, Desviación Estándar y Coeficiente de Variación.</w:t>
      </w:r>
    </w:p>
    <w:p>
      <w:pPr>
        <w:spacing w:after="120"/>
      </w:pPr>
      <w:r>
        <w:rPr>
          <w:rFonts w:ascii="Calibri" w:cs="Calibri" w:eastAsia="Calibri" w:hAnsi="Calibri"/>
          <w:b/>
          <w:bCs/>
        </w:rPr>
        <w:t xml:space="preserve">3) Cuartiles Q1, Q2, Q3 y rango intercuartílico (IQR)</w:t>
      </w:r>
      <w:r>
        <w:rPr>
          <w:rFonts w:ascii="Calibri" w:cs="Calibri" w:eastAsia="Calibri" w:hAnsi="Calibri"/>
        </w:rPr>
        <w:t xml:space="preserve"/>
      </w:r>
    </w:p>
    <w:p>
      <w:pPr>
        <w:spacing w:after="120"/>
      </w:pPr>
      <w:r>
        <w:rPr>
          <w:rFonts w:ascii="Calibri" w:cs="Calibri" w:eastAsia="Calibri" w:hAnsi="Calibri"/>
        </w:rPr>
        <w:t xml:space="preserve">Mitad inferior (6 datos): 1800,2200,2500,2800,3000,3200 → Q1 = mediana = (2500+2800)/2 = 2 650</w:t>
      </w:r>
    </w:p>
    <w:p>
      <w:pPr>
        <w:spacing w:after="120"/>
      </w:pPr>
      <w:r>
        <w:rPr>
          <w:rFonts w:ascii="Calibri" w:cs="Calibri" w:eastAsia="Calibri" w:hAnsi="Calibri"/>
        </w:rPr>
        <w:t xml:space="preserve">Mitad superior (6 datos): 3500,3800,4000,4500,5000,12000 → Q3 = mediana = (4000+4500)/2 = 4 250</w:t>
      </w:r>
    </w:p>
    <w:p>
      <w:pPr>
        <w:spacing w:after="120"/>
      </w:pPr>
      <w:r>
        <w:rPr>
          <w:rFonts w:ascii="Calibri" w:cs="Calibri" w:eastAsia="Calibri" w:hAnsi="Calibri"/>
        </w:rPr>
        <w:t xml:space="preserve">Q2 = mediana total = 3 350</w:t>
      </w:r>
    </w:p>
    <w:p>
      <w:pPr>
        <w:spacing w:after="120"/>
      </w:pPr>
      <w:r>
        <w:rPr>
          <w:rFonts w:ascii="Calibri" w:cs="Calibri" w:eastAsia="Calibri" w:hAnsi="Calibri"/>
        </w:rPr>
        <w:t xml:space="preserve">IQR = Q3 − Q1 = 4 250 − 2 650 = 1 600</w:t>
      </w:r>
    </w:p>
    <w:p>
      <w:pPr>
        <w:spacing w:after="120"/>
      </w:pPr>
      <w:r>
        <w:rPr>
          <w:rFonts w:ascii="Calibri" w:cs="Calibri" w:eastAsia="Calibri" w:hAnsi="Calibri"/>
        </w:rPr>
        <w:t xml:space="preserve">El IQR muestra el rango del 50% central de los datos, sin verse afectado por el valor atípico de 12 000 — a diferencia del rango total (12000−1800=10 200), que sí queda completamente distorsionado por ese dato.</w:t>
      </w:r>
    </w:p>
    <w:p>
      <w:pPr>
        <w:spacing w:after="120"/>
      </w:pPr>
      <w:r>
        <w:rPr>
          <w:rFonts w:ascii="Calibri" w:cs="Calibri" w:eastAsia="Calibri" w:hAnsi="Calibri"/>
          <w:b/>
          <w:bCs/>
        </w:rPr>
        <w:t xml:space="preserve">Nota importante: </w:t>
      </w:r>
      <w:r>
        <w:rPr>
          <w:rFonts w:ascii="Calibri" w:cs="Calibri" w:eastAsia="Calibri" w:hAnsi="Calibri"/>
        </w:rPr>
        <w:t xml:space="preserve">este punto NO se puede resolver con el material de clase — cuartiles y rango intercuartílico no aparecen en ninguna de las dos clases del profesor.</w:t>
      </w:r>
    </w:p>
    <w:p>
      <w:pPr>
        <w:spacing w:after="240"/>
      </w:pPr>
      <w:r>
        <w:rPr>
          <w:rFonts w:ascii="Calibri" w:cs="Calibri" w:eastAsia="Calibri" w:hAnsi="Calibri"/>
          <w:i/>
          <w:iCs/>
          <w:color w:val="555555"/>
          <w:sz w:val="20"/>
          <w:szCs w:val="20"/>
        </w:rPr>
        <w:t xml:space="preserve">Fuente: Definición y cálculo de cuartiles y rango intercuartílico — Libro §3.1.5 (Cuartiles, deciles y percentiles) y §3.2.1 (Recorridos). NO cubierto en Clase 01 ni Clase 02.</w:t>
      </w:r>
    </w:p>
    <w:p>
      <w:pPr>
        <w:spacing w:after="120"/>
      </w:pPr>
      <w:r>
        <w:rPr>
          <w:rFonts w:ascii="Calibri" w:cs="Calibri" w:eastAsia="Calibri" w:hAnsi="Calibri"/>
          <w:b/>
          <w:bCs/>
        </w:rPr>
        <w:t xml:space="preserve">4) Curva de Lorenz e Índice de Gini</w:t>
      </w:r>
      <w:r>
        <w:rPr>
          <w:rFonts w:ascii="Calibri" w:cs="Calibri" w:eastAsia="Calibri" w:hAnsi="Calibri"/>
        </w:rPr>
        <w:t xml:space="preserve"/>
      </w:r>
    </w:p>
    <w:p>
      <w:pPr>
        <w:spacing w:after="120"/>
      </w:pPr>
      <w:r>
        <w:rPr>
          <w:rFonts w:ascii="Calibri" w:cs="Calibri" w:eastAsia="Calibri" w:hAnsi="Calibri"/>
        </w:rPr>
        <w:t xml:space="preserve">Ordenando los datos y calculando las proporciones acumuladas de población (Pi=i/12) e ingreso (Qi), y aplicando el método correcto de áreas trapezoidales bajo la Curva de Lorenz:</w:t>
      </w:r>
    </w:p>
    <w:p>
      <w:pPr>
        <w:spacing w:after="120"/>
      </w:pPr>
      <w:r>
        <w:rPr>
          <w:rFonts w:ascii="Calibri" w:cs="Calibri" w:eastAsia="Calibri" w:hAnsi="Calibri"/>
        </w:rPr>
        <w:t xml:space="preserve">G ≈ 0.276</w:t>
      </w:r>
    </w:p>
    <w:p>
      <w:pPr>
        <w:spacing w:after="120"/>
      </w:pPr>
      <w:r>
        <w:rPr>
          <w:rFonts w:ascii="Calibri" w:cs="Calibri" w:eastAsia="Calibri" w:hAnsi="Calibri"/>
        </w:rPr>
        <w:t xml:space="preserve">Interpretación: un Gini de ~0.28 indica una desigualdad moderada en el ingreso de estos 12 hogares — significativamente elevada respecto a una distribución perfectamente equitativa (G=0), y explicada en gran parte por el hogar con ingreso de 12 000.</w:t>
      </w:r>
    </w:p>
    <w:p>
      <w:pPr>
        <w:spacing w:after="120"/>
      </w:pPr>
      <w:r>
        <w:rPr>
          <w:rFonts w:ascii="Calibri" w:cs="Calibri" w:eastAsia="Calibri" w:hAnsi="Calibri"/>
          <w:b/>
          <w:bCs/>
        </w:rPr>
        <w:t xml:space="preserve">Nota importante: </w:t>
      </w:r>
      <w:r>
        <w:rPr>
          <w:rFonts w:ascii="Calibri" w:cs="Calibri" w:eastAsia="Calibri" w:hAnsi="Calibri"/>
        </w:rPr>
        <w:t xml:space="preserve">la fórmula G=1−2Σ(Pi·Qi) copiada literalmente de la diapositiva no produce un resultado válido si se aplica de forma directa; requiere el ajuste trapezoidal (promediar Qi consecutivos) que no está explicado en ningún material del curso.</w:t>
      </w:r>
    </w:p>
    <w:p>
      <w:pPr>
        <w:spacing w:after="240"/>
      </w:pPr>
      <w:r>
        <w:rPr>
          <w:rFonts w:ascii="Calibri" w:cs="Calibri" w:eastAsia="Calibri" w:hAnsi="Calibri"/>
          <w:i/>
          <w:iCs/>
          <w:color w:val="555555"/>
          <w:sz w:val="20"/>
          <w:szCs w:val="20"/>
        </w:rPr>
        <w:t xml:space="preserve">Fuente: Concepto de Curva de Lorenz e Índice de Gini — Clase 02. Método completo de cálculo — no cubierto en clase ni en el libro (el libro no trata este tema).</w:t>
      </w:r>
    </w:p>
    <w:p>
      <w:pPr>
        <w:spacing w:after="120"/>
      </w:pPr>
      <w:r>
        <w:rPr>
          <w:rFonts w:ascii="Calibri" w:cs="Calibri" w:eastAsia="Calibri" w:hAnsi="Calibri"/>
          <w:b/>
          <w:bCs/>
        </w:rPr>
        <w:t xml:space="preserve">5) Sensibilidad ante el valor atípico de 12 000</w:t>
      </w:r>
      <w:r>
        <w:rPr>
          <w:rFonts w:ascii="Calibri" w:cs="Calibri" w:eastAsia="Calibri" w:hAnsi="Calibri"/>
        </w:rPr>
        <w:t xml:space="preserve"/>
      </w:r>
    </w:p>
    <w:p>
      <w:pPr>
        <w:spacing w:after="120"/>
      </w:pPr>
      <w:r>
        <w:rPr>
          <w:rFonts w:ascii="Calibri" w:cs="Calibri" w:eastAsia="Calibri" w:hAnsi="Calibri"/>
        </w:rPr>
        <w:t xml:space="preserve">La media, la varianza, la desviación estándar y el CV son medidas muy sensibles a valores atípicos — el 12 000 por sí solo explica la mayor parte de la dispersión total calculada en el punto 2.</w:t>
      </w:r>
    </w:p>
    <w:p>
      <w:pPr>
        <w:spacing w:after="120"/>
      </w:pPr>
      <w:r>
        <w:rPr>
          <w:rFonts w:ascii="Calibri" w:cs="Calibri" w:eastAsia="Calibri" w:hAnsi="Calibri"/>
        </w:rPr>
        <w:t xml:space="preserve">La mediana y el IQR, en cambio, son medidas robustas: prácticamente no cambian si se retira o modifica ese dato, porque dependen del orden de los datos y no de su magnitud exacta.</w:t>
      </w:r>
    </w:p>
    <w:p>
      <w:pPr>
        <w:spacing w:after="120"/>
      </w:pPr>
      <w:r>
        <w:rPr>
          <w:rFonts w:ascii="Calibri" w:cs="Calibri" w:eastAsia="Calibri" w:hAnsi="Calibri"/>
          <w:b/>
          <w:bCs/>
        </w:rPr>
        <w:t xml:space="preserve">Recomendación: </w:t>
      </w:r>
      <w:r>
        <w:rPr>
          <w:rFonts w:ascii="Calibri" w:cs="Calibri" w:eastAsia="Calibri" w:hAnsi="Calibri"/>
        </w:rPr>
        <w:t xml:space="preserve">usar la MEDIANA para resumir el ingreso típico de la comunidad, ya que no está distorsionada por el hogar con ingreso atípicamente alto — a diferencia de la media, que da una impresión sobreestimada del ingreso típico real.</w:t>
      </w:r>
    </w:p>
    <w:p>
      <w:pPr>
        <w:spacing w:after="240"/>
      </w:pPr>
      <w:r>
        <w:rPr>
          <w:rFonts w:ascii="Calibri" w:cs="Calibri" w:eastAsia="Calibri" w:hAnsi="Calibri"/>
          <w:i/>
          <w:iCs/>
          <w:color w:val="555555"/>
          <w:sz w:val="20"/>
          <w:szCs w:val="20"/>
        </w:rPr>
        <w:t xml:space="preserve">Fuente: Sensibilidad de las medidas ante outliers — tablas comparativas de Clase 02 ("Comparación de Medidas de Centralización" y "Comparación de Medidas de Dispersión").</w:t>
      </w:r>
    </w:p>
    <w:p>
      <w:pPr>
        <w:pStyle w:val="Heading1"/>
        <w:spacing w:after="150" w:before="300"/>
      </w:pPr>
      <w:r>
        <w:t xml:space="preserve">Resumen: qué faltó en el material de clase</w:t>
      </w:r>
    </w:p>
    <w:p>
      <w:pPr>
        <w:spacing w:after="120"/>
      </w:pPr>
      <w:r>
        <w:rPr>
          <w:rFonts w:ascii="Calibri" w:cs="Calibri" w:eastAsia="Calibri" w:hAnsi="Calibri"/>
        </w:rPr>
        <w:t xml:space="preserve">Dos temas exigidos por la guía no están cubiertos en ninguna de las dos clases del profesor:</w:t>
      </w:r>
    </w:p>
    <w:p>
      <w:pPr>
        <w:spacing w:after="120"/>
      </w:pPr>
      <w:r>
        <w:rPr>
          <w:rFonts w:ascii="Calibri" w:cs="Calibri" w:eastAsia="Calibri" w:hAnsi="Calibri"/>
        </w:rPr>
        <w:t xml:space="preserve">• Cuartiles y rango intercuartílico (afecta directamente la pregunta 31, punto 3) — sí están en el libro, §3.1.5 y §3.2.1.</w:t>
      </w:r>
    </w:p>
    <w:p>
      <w:pPr>
        <w:spacing w:after="120"/>
      </w:pPr>
      <w:r>
        <w:rPr>
          <w:rFonts w:ascii="Calibri" w:cs="Calibri" w:eastAsia="Calibri" w:hAnsi="Calibri"/>
        </w:rPr>
        <w:t xml:space="preserve">• Marca de clase / datos agrupados en intervalos (afecta la pregunta 26 y, por dependencia, la 27) — sí está en el libro, §2.2.2.</w:t>
      </w:r>
    </w:p>
    <w:p>
      <w:pPr>
        <w:spacing w:after="120"/>
      </w:pPr>
      <w:r>
        <w:rPr>
          <w:rFonts w:ascii="Calibri" w:cs="Calibri" w:eastAsia="Calibri" w:hAnsi="Calibri"/>
        </w:rPr>
        <w:t xml:space="preserve">Un tema queda sin cobertura completa incluso sumando ambas fuentes:</w:t>
      </w:r>
    </w:p>
    <w:p>
      <w:pPr>
        <w:spacing w:after="120"/>
      </w:pPr>
      <w:r>
        <w:rPr>
          <w:rFonts w:ascii="Calibri" w:cs="Calibri" w:eastAsia="Calibri" w:hAnsi="Calibri"/>
        </w:rPr>
        <w:t xml:space="preserve">• El método correcto para calcular el Índice de Gini a partir de proporciones acumuladas (afecta las preguntas 27 y 31.4) — la fórmula aparece en clase, pero sin el procedimiento de cálculo correcto, y el libro no trata este tema en absoluto.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2026-09-16T03:34:20.282Z</dcterms:created>
  <dcterms:modified xsi:type="dcterms:W3CDTF">2026-09-16T03:34:20.291Z</dcterms:modified>
</cp:coreProperties>
</file>

<file path=docProps/custom.xml><?xml version="1.0" encoding="utf-8"?>
<Properties xmlns="http://schemas.openxmlformats.org/officeDocument/2006/custom-properties" xmlns:vt="http://schemas.openxmlformats.org/officeDocument/2006/docPropsVTypes"/>
</file>