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66534"/>
          <w:sz w:val="19"/>
          <w:szCs w:val="19"/>
          <w:rtl w:val="0"/>
        </w:rPr>
        <w:t xml:space="preserve">DESEMPEÑO COMERCIAL Y ESTRATEGIA - RESTAURANTE LA ANALÍTICA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Camila Aguado - Samuel Bustos</w:t>
      </w:r>
    </w:p>
    <w:tbl>
      <w:tblPr>
        <w:tblStyle w:val="Table1"/>
        <w:tblW w:w="5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0"/>
        <w:gridCol w:w="2530"/>
        <w:tblGridChange w:id="0">
          <w:tblGrid>
            <w:gridCol w:w="2530"/>
            <w:gridCol w:w="2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6534" w:val="clear"/>
            <w:tcMar>
              <w:top w:w="170.0" w:type="dxa"/>
              <w:left w:w="100.0" w:type="dxa"/>
              <w:bottom w:w="1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$3,886.56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e4ede6"/>
                <w:sz w:val="18"/>
                <w:szCs w:val="18"/>
                <w:rtl w:val="0"/>
              </w:rPr>
              <w:t xml:space="preserve">Ingresos totales (2 semanas)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6534" w:val="clear"/>
            <w:tcMar>
              <w:top w:w="170.0" w:type="dxa"/>
              <w:left w:w="100.0" w:type="dxa"/>
              <w:bottom w:w="1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e4ede6"/>
                <w:sz w:val="18"/>
                <w:szCs w:val="18"/>
                <w:rtl w:val="0"/>
              </w:rPr>
              <w:t xml:space="preserve">Registros de 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before="13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66534"/>
          <w:sz w:val="18"/>
          <w:szCs w:val="18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i w:val="0"/>
          <w:iCs w:val="0"/>
          <w:sz w:val="18"/>
          <w:szCs w:val="18"/>
        </w:rPr>
      </w:pPr>
      <w:r w:rsidDel="00000000" w:rsidR="00000000" w:rsidRPr="00000000">
        <w:rPr>
          <w:i w:val="0"/>
          <w:iCs w:val="0"/>
          <w:sz w:val="18"/>
          <w:szCs w:val="18"/>
          <w:rtl w:val="0"/>
        </w:rPr>
        <w:t xml:space="preserve">En las dos semanas registradas, el restaurante generó $3,886.56 en ingresos sobre 500 registros de venta. La Semana 2 cerró levemente por debajo de la Semana 1 ($1,923.88 frente a $1,962.68; -2.0%), con un ingreso promedio por registro algo menor ($7.70 frente a $7.85).</w:t>
      </w:r>
    </w:p>
    <w:p w:rsidR="00000000" w:rsidDel="00000000" w:rsidP="00000000" w:rsidRDefault="00000000" w:rsidRPr="00000000" w14:paraId="0000000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i w:val="0"/>
          <w:iCs w:val="0"/>
          <w:sz w:val="18"/>
          <w:szCs w:val="18"/>
          <w:rtl w:val="0"/>
        </w:rPr>
        <w:t xml:space="preserve">El hallazgo principal:</w:t>
      </w:r>
      <w:r w:rsidDel="00000000" w:rsidR="00000000" w:rsidRPr="00000000">
        <w:rPr>
          <w:sz w:val="18"/>
          <w:szCs w:val="18"/>
          <w:rtl w:val="0"/>
        </w:rPr>
        <w:t xml:space="preserve">el plato que más se pide no es el que más dinero le deja al negocio. Drink es la bebida más pedida (59 veces), pero por su bajo precio solo genera $97.20. En cambio, Steak se pide menos (50 veces) pero, al tener un precio más alto, aporta $1,249.50: el mayor ingreso de todo el menú.</w:t>
      </w:r>
    </w:p>
    <w:p w:rsidR="00000000" w:rsidDel="00000000" w:rsidP="00000000" w:rsidRDefault="00000000" w:rsidRPr="00000000" w14:paraId="0000000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5"/>
        <w:gridCol w:w="6075"/>
        <w:tblGridChange w:id="0">
          <w:tblGrid>
            <w:gridCol w:w="5295"/>
            <w:gridCol w:w="6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60" w:before="13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2. DESEMPEÑO DEL MENÚ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Frecuencia e ingresos no son el mismo indicador: la frecuencia mide cuántas veces se elige un producto, mientras que los ingresos dependen también del precio. Los 10 productos del menú, ordenados por ingresos: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00.0" w:type="dxa"/>
              <w:jc w:val="left"/>
              <w:tblBorders>
                <w:top w:color="cbd5cb" w:space="0" w:sz="2" w:val="single"/>
                <w:left w:color="cbd5cb" w:space="0" w:sz="2" w:val="single"/>
                <w:bottom w:color="cbd5cb" w:space="0" w:sz="2" w:val="single"/>
                <w:right w:color="cbd5cb" w:space="0" w:sz="2" w:val="single"/>
                <w:insideH w:color="cbd5cb" w:space="0" w:sz="2" w:val="single"/>
                <w:insideV w:color="cbd5cb" w:space="0" w:sz="2" w:val="single"/>
              </w:tblBorders>
              <w:tblLayout w:type="fixed"/>
              <w:tblLook w:val="0000"/>
            </w:tblPr>
            <w:tblGrid>
              <w:gridCol w:w="1900"/>
              <w:gridCol w:w="1500"/>
              <w:gridCol w:w="1600"/>
              <w:tblGridChange w:id="0">
                <w:tblGrid>
                  <w:gridCol w:w="1900"/>
                  <w:gridCol w:w="1500"/>
                  <w:gridCol w:w="16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166534" w:val="clear"/>
                  <w:tcMar>
                    <w:top w:w="55.0" w:type="dxa"/>
                    <w:left w:w="90.0" w:type="dxa"/>
                    <w:bottom w:w="55.0" w:type="dxa"/>
                    <w:right w:w="90.0" w:type="dxa"/>
                  </w:tcMar>
                </w:tcPr>
                <w:p w:rsidR="00000000" w:rsidDel="00000000" w:rsidP="00000000" w:rsidRDefault="00000000" w:rsidRPr="00000000" w14:paraId="0000000D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Producto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66534" w:val="clear"/>
                  <w:tcMar>
                    <w:top w:w="55.0" w:type="dxa"/>
                    <w:left w:w="90.0" w:type="dxa"/>
                    <w:bottom w:w="55.0" w:type="dxa"/>
                    <w:right w:w="90.0" w:type="dxa"/>
                  </w:tcMar>
                </w:tcPr>
                <w:p w:rsidR="00000000" w:rsidDel="00000000" w:rsidP="00000000" w:rsidRDefault="00000000" w:rsidRPr="00000000" w14:paraId="0000000E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Frecuencia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66534" w:val="clear"/>
                  <w:tcMar>
                    <w:top w:w="55.0" w:type="dxa"/>
                    <w:left w:w="90.0" w:type="dxa"/>
                    <w:bottom w:w="55.0" w:type="dxa"/>
                    <w:right w:w="90.0" w:type="dxa"/>
                  </w:tcMar>
                </w:tcPr>
                <w:p w:rsidR="00000000" w:rsidDel="00000000" w:rsidP="00000000" w:rsidRDefault="00000000" w:rsidRPr="00000000" w14:paraId="0000000F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Ingresos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0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Steak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1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50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2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$1,249.50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3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Pasta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4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54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5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$752.50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6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Burrito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7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57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8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$569.43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9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Salad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A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48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B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$535.90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C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Quesadilla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D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49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E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$202.70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1F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Sushi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0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43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1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$166.60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2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Taco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3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46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4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$133.30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5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Drink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6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59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7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$97.20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8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Pizza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9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39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A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$91.60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B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f2937"/>
                      <w:sz w:val="18"/>
                      <w:szCs w:val="18"/>
                      <w:rtl w:val="0"/>
                    </w:rPr>
                    <w:t xml:space="preserve">Donut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C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55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0f5f1" w:val="clear"/>
                  <w:tcMar>
                    <w:top w:w="40.0" w:type="dxa"/>
                    <w:left w:w="90.0" w:type="dxa"/>
                    <w:bottom w:w="40.0" w:type="dxa"/>
                    <w:right w:w="90.0" w:type="dxa"/>
                  </w:tcMar>
                </w:tcPr>
                <w:p w:rsidR="00000000" w:rsidDel="00000000" w:rsidP="00000000" w:rsidRDefault="00000000" w:rsidRPr="00000000" w14:paraId="0000002D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f2937"/>
                      <w:sz w:val="18"/>
                      <w:szCs w:val="18"/>
                      <w:rtl w:val="0"/>
                    </w:rPr>
                    <w:t xml:space="preserve">$50.00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spacing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esta tabla podemos observar:</w:t>
            </w:r>
          </w:p>
          <w:p w:rsidR="00000000" w:rsidDel="00000000" w:rsidP="00000000" w:rsidRDefault="00000000" w:rsidRPr="00000000" w14:paraId="0000002F">
            <w:pPr>
              <w:spacing w:after="100" w:line="278.4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3c47d"/>
                <w:sz w:val="18"/>
                <w:szCs w:val="18"/>
                <w:rtl w:val="0"/>
              </w:rPr>
              <w:t xml:space="preserve">Los productos más importantes:</w:t>
            </w: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Steak, Pasta, Burrito son los productos que más ingresos generan, y juntos representan más del 78% del total. </w:t>
            </w:r>
          </w:p>
          <w:p w:rsidR="00000000" w:rsidDel="00000000" w:rsidP="00000000" w:rsidRDefault="00000000" w:rsidRPr="00000000" w14:paraId="00000030">
            <w:pPr>
              <w:spacing w:after="100" w:line="278.4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18"/>
                <w:szCs w:val="18"/>
                <w:rtl w:val="0"/>
              </w:rPr>
              <w:t xml:space="preserve">Los populares de bajo aporte: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Drink y Donut se venden con mucha frecuencia (59 y 55 pedidos) pero aportan muy poco ingreso ($97.20 y $50.00).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2.Frecuencia e ingresos por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0" distT="0" distL="0" distR="0">
                  <wp:extent cx="3660775" cy="20097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775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13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3. COMPORTAMIENTO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Rule="auto"/>
              <w:ind w:left="160" w:hanging="13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▪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Registros de venta: 250 en la Semana 1 y 250 en la Semana 2 (sin variación).</w:t>
            </w:r>
          </w:p>
          <w:p w:rsidR="00000000" w:rsidDel="00000000" w:rsidP="00000000" w:rsidRDefault="00000000" w:rsidRPr="00000000" w14:paraId="00000035">
            <w:pPr>
              <w:spacing w:after="40" w:lineRule="auto"/>
              <w:ind w:left="160" w:hanging="13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▪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Ingresos: $1,962.68 (Semana 1) frente a $1,923.88 (Semana 2) — una diferencia de $38.80.</w:t>
            </w:r>
          </w:p>
          <w:p w:rsidR="00000000" w:rsidDel="00000000" w:rsidP="00000000" w:rsidRDefault="00000000" w:rsidRPr="00000000" w14:paraId="00000036">
            <w:pPr>
              <w:spacing w:after="40" w:lineRule="auto"/>
              <w:ind w:left="160" w:hanging="13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▪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Ingreso promedio por registro: $7.85 frente a $7.70 — una diferencia de $0.16.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5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3.Ingresos por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0" distT="0" distL="0" distR="0">
                  <wp:extent cx="3189287" cy="16383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287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13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66534"/>
          <w:sz w:val="18"/>
          <w:szCs w:val="18"/>
          <w:rtl w:val="0"/>
        </w:rPr>
        <w:t xml:space="preserve">4. DIAGNÓSTICO DE RECURRENCIA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i w:val="0"/>
          <w:iCs w:val="0"/>
          <w:sz w:val="18"/>
          <w:szCs w:val="18"/>
          <w:rtl w:val="0"/>
        </w:rPr>
        <w:t xml:space="preserve">De los 221 clientes únicos de la Semana 1, 46 volvieron a comprar en la Semana 2: una tasa de recurrencia del 20.8%. Cerca de 4 de cada 5 clientes de la primera semana no repitieron dentro de la ventana observada.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160" w:hanging="13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▪ Acción de fidelización propuesta: implementar un programa de fidelidad ya sea tarjeta de sellos o beneficio digital dirigido al grupo recurrente, junto con una oferta de segunda visita para los clientes de una sola compra.</w:t>
      </w:r>
    </w:p>
    <w:p w:rsidR="00000000" w:rsidDel="00000000" w:rsidP="00000000" w:rsidRDefault="00000000" w:rsidRPr="00000000" w14:paraId="0000003C">
      <w:pPr>
        <w:spacing w:after="60" w:before="13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66534"/>
          <w:sz w:val="18"/>
          <w:szCs w:val="18"/>
          <w:rtl w:val="0"/>
        </w:rPr>
        <w:t xml:space="preserve">5. PERFIL DE CONSUMO Y RECOMENDACIÓN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i w:val="0"/>
          <w:iCs w:val="0"/>
          <w:sz w:val="18"/>
          <w:szCs w:val="18"/>
          <w:rtl w:val="0"/>
        </w:rPr>
        <w:t xml:space="preserve">Las ocupaciones que agregaron más ingresos fueron Compensation Analyst, Sales Representative, Marketing Manager, Cost Accountant y Assistant Media Planner (entre $73 y $117 cada una, cerca del 12% de los ingresos totales en conjunto). Esto sugiere una base de clientes diversa y no concentrada en pocos perfiles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0" w:lineRule="auto"/>
        <w:ind w:left="160" w:hanging="13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▪ </w:t>
      </w:r>
      <w:r w:rsidDel="00000000" w:rsidR="00000000" w:rsidRPr="00000000">
        <w:rPr>
          <w:sz w:val="18"/>
          <w:szCs w:val="18"/>
          <w:rtl w:val="0"/>
        </w:rPr>
        <w:t xml:space="preserve">Acción prioritaria que proponemos: lanzar en las próximas dos semanas un programa de fidelización enfocado en el 20.8% de clientes recurrentes, revisar el desempeño de Pizza y Donut como por ejemplo precio, ingredientes o promociones, y  ampliar la ventana de datos para confirmar si la variación semanal observada es una tendencia real dentro del restaurante </w:t>
      </w:r>
    </w:p>
    <w:p w:rsidR="00000000" w:rsidDel="00000000" w:rsidP="00000000" w:rsidRDefault="00000000" w:rsidRPr="00000000" w14:paraId="0000003F">
      <w:pPr>
        <w:spacing w:before="25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60" w:top="48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XHLdIXFgxrWV1EnkdRfAMxbbw==">CgMxLjA4AHIhMXBiVWVMaE12cjV5SWxGQThzeU9LcTJXT0R5bjF3MjRW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2026-08-12T03:12:23.238Z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